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2108963427"/>
        <w:docPartObj>
          <w:docPartGallery w:val="Cover Pages"/>
          <w:docPartUnique/>
        </w:docPartObj>
      </w:sdtPr>
      <w:sdtEndPr/>
      <w:sdtContent>
        <w:p w14:paraId="5ECFAECB" w14:textId="77777777" w:rsidR="00E4742B" w:rsidRDefault="00E4742B"/>
        <w:tbl>
          <w:tblPr>
            <w:tblpPr w:leftFromText="187" w:rightFromText="187" w:horzAnchor="margin" w:tblpXSpec="center" w:tblpY="2881"/>
            <w:tblW w:w="4000" w:type="pct"/>
            <w:tblBorders>
              <w:left w:val="single" w:sz="12" w:space="0" w:color="002060"/>
            </w:tblBorders>
            <w:tblCellMar>
              <w:left w:w="144" w:type="dxa"/>
              <w:right w:w="115" w:type="dxa"/>
            </w:tblCellMar>
            <w:tblLook w:val="04A0" w:firstRow="1" w:lastRow="0" w:firstColumn="1" w:lastColumn="0" w:noHBand="0" w:noVBand="1"/>
          </w:tblPr>
          <w:tblGrid>
            <w:gridCol w:w="7698"/>
          </w:tblGrid>
          <w:tr w:rsidR="00E4742B" w14:paraId="7E3CE88A" w14:textId="77777777" w:rsidTr="00EF12C4">
            <w:tc>
              <w:tcPr>
                <w:tcW w:w="7672" w:type="dxa"/>
                <w:tcMar>
                  <w:top w:w="216" w:type="dxa"/>
                  <w:left w:w="115" w:type="dxa"/>
                  <w:bottom w:w="216" w:type="dxa"/>
                  <w:right w:w="115" w:type="dxa"/>
                </w:tcMar>
              </w:tcPr>
              <w:p w14:paraId="60718660" w14:textId="77777777" w:rsidR="00E4742B" w:rsidRDefault="00E4742B">
                <w:pPr>
                  <w:pStyle w:val="Sansinterligne"/>
                  <w:rPr>
                    <w:color w:val="6B911C" w:themeColor="accent1" w:themeShade="BF"/>
                    <w:sz w:val="24"/>
                  </w:rPr>
                </w:pPr>
              </w:p>
            </w:tc>
          </w:tr>
          <w:tr w:rsidR="00E4742B" w14:paraId="2080F2CE" w14:textId="77777777" w:rsidTr="00EF12C4">
            <w:tc>
              <w:tcPr>
                <w:tcW w:w="7672" w:type="dxa"/>
              </w:tcPr>
              <w:p w14:paraId="01B1E3E8" w14:textId="5EA1539B" w:rsidR="00E4742B" w:rsidRPr="00EF12C4" w:rsidRDefault="00540ACB">
                <w:pPr>
                  <w:pStyle w:val="Sansinterligne"/>
                  <w:spacing w:line="216" w:lineRule="auto"/>
                  <w:rPr>
                    <w:rFonts w:ascii="Arial" w:eastAsiaTheme="majorEastAsia" w:hAnsi="Arial" w:cs="Arial"/>
                    <w:color w:val="002060"/>
                    <w:sz w:val="88"/>
                    <w:szCs w:val="88"/>
                  </w:rPr>
                </w:pPr>
                <w:r w:rsidRPr="00EF12C4">
                  <w:rPr>
                    <w:rFonts w:ascii="Arial" w:eastAsiaTheme="majorEastAsia" w:hAnsi="Arial" w:cs="Arial"/>
                    <w:color w:val="002060"/>
                    <w:sz w:val="88"/>
                    <w:szCs w:val="88"/>
                  </w:rPr>
                  <w:t>Cas pr</w:t>
                </w:r>
                <w:r w:rsidR="00AB7BF7" w:rsidRPr="00EF12C4">
                  <w:rPr>
                    <w:rFonts w:ascii="Arial" w:eastAsiaTheme="majorEastAsia" w:hAnsi="Arial" w:cs="Arial"/>
                    <w:color w:val="002060"/>
                    <w:sz w:val="88"/>
                    <w:szCs w:val="88"/>
                  </w:rPr>
                  <w:t>atique RC</w:t>
                </w:r>
              </w:p>
            </w:tc>
          </w:tr>
          <w:tr w:rsidR="00E4742B" w14:paraId="3AEDAA4B" w14:textId="77777777" w:rsidTr="00EF12C4">
            <w:sdt>
              <w:sdtPr>
                <w:rPr>
                  <w:rFonts w:ascii="Arial" w:hAnsi="Arial" w:cs="Arial"/>
                  <w:color w:val="002060"/>
                  <w:sz w:val="24"/>
                  <w:szCs w:val="24"/>
                </w:rPr>
                <w:alias w:val="Sous-titre"/>
                <w:id w:val="13406923"/>
                <w:placeholder>
                  <w:docPart w:val="C1DBD305C83B4EA1A4E64EA082DBA8AC"/>
                </w:placeholder>
                <w:dataBinding w:prefixMappings="xmlns:ns0='http://schemas.openxmlformats.org/package/2006/metadata/core-properties' xmlns:ns1='http://purl.org/dc/elements/1.1/'" w:xpath="/ns0:coreProperties[1]/ns1:subject[1]" w:storeItemID="{6C3C8BC8-F283-45AE-878A-BAB7291924A1}"/>
                <w:text/>
              </w:sdtPr>
              <w:sdtEndPr/>
              <w:sdtContent>
                <w:tc>
                  <w:tcPr>
                    <w:tcW w:w="7672" w:type="dxa"/>
                    <w:tcMar>
                      <w:top w:w="216" w:type="dxa"/>
                      <w:left w:w="115" w:type="dxa"/>
                      <w:bottom w:w="216" w:type="dxa"/>
                      <w:right w:w="115" w:type="dxa"/>
                    </w:tcMar>
                  </w:tcPr>
                  <w:p w14:paraId="0DEF932C" w14:textId="4CD145E6" w:rsidR="00E4742B" w:rsidRPr="00EF12C4" w:rsidRDefault="00036700">
                    <w:pPr>
                      <w:pStyle w:val="Sansinterligne"/>
                      <w:rPr>
                        <w:rFonts w:ascii="Arial" w:hAnsi="Arial" w:cs="Arial"/>
                        <w:color w:val="002060"/>
                        <w:sz w:val="24"/>
                      </w:rPr>
                    </w:pPr>
                    <w:r w:rsidRPr="00EF12C4">
                      <w:rPr>
                        <w:rFonts w:ascii="Arial" w:hAnsi="Arial" w:cs="Arial"/>
                        <w:color w:val="002060"/>
                        <w:sz w:val="24"/>
                        <w:szCs w:val="24"/>
                      </w:rPr>
                      <w:t>Enoncés avec analyse &amp; réponses</w:t>
                    </w:r>
                  </w:p>
                </w:tc>
              </w:sdtContent>
            </w:sdt>
          </w:tr>
        </w:tbl>
        <w:tbl>
          <w:tblPr>
            <w:tblpPr w:leftFromText="187" w:rightFromText="187" w:horzAnchor="margin" w:tblpXSpec="center" w:tblpYSpec="bottom"/>
            <w:tblW w:w="4706" w:type="pct"/>
            <w:tblLook w:val="04A0" w:firstRow="1" w:lastRow="0" w:firstColumn="1" w:lastColumn="0" w:noHBand="0" w:noVBand="1"/>
          </w:tblPr>
          <w:tblGrid>
            <w:gridCol w:w="9071"/>
          </w:tblGrid>
          <w:tr w:rsidR="00E4742B" w14:paraId="2674C7D1" w14:textId="77777777" w:rsidTr="00E4742B">
            <w:tc>
              <w:tcPr>
                <w:tcW w:w="9072" w:type="dxa"/>
                <w:tcMar>
                  <w:top w:w="216" w:type="dxa"/>
                  <w:left w:w="115" w:type="dxa"/>
                  <w:bottom w:w="216" w:type="dxa"/>
                  <w:right w:w="115" w:type="dxa"/>
                </w:tcMar>
              </w:tcPr>
              <w:sdt>
                <w:sdtPr>
                  <w:rPr>
                    <w:rFonts w:ascii="Arial" w:hAnsi="Arial" w:cs="Arial"/>
                    <w:b/>
                    <w:bCs/>
                    <w:color w:val="90C226" w:themeColor="accent1"/>
                  </w:rPr>
                  <w:alias w:val="Auteur"/>
                  <w:id w:val="13406928"/>
                  <w:placeholder>
                    <w:docPart w:val="D378ED89BA084BBBB46D6322D845C3E3"/>
                  </w:placeholder>
                  <w:dataBinding w:prefixMappings="xmlns:ns0='http://schemas.openxmlformats.org/package/2006/metadata/core-properties' xmlns:ns1='http://purl.org/dc/elements/1.1/'" w:xpath="/ns0:coreProperties[1]/ns1:creator[1]" w:storeItemID="{6C3C8BC8-F283-45AE-878A-BAB7291924A1}"/>
                  <w:text/>
                </w:sdtPr>
                <w:sdtEndPr/>
                <w:sdtContent>
                  <w:p w14:paraId="4AAAD8A3" w14:textId="77777777" w:rsidR="00E4742B" w:rsidRDefault="008779B7">
                    <w:pPr>
                      <w:pStyle w:val="Sansinterligne"/>
                      <w:rPr>
                        <w:color w:val="90C226" w:themeColor="accent1"/>
                        <w:sz w:val="28"/>
                        <w:szCs w:val="28"/>
                      </w:rPr>
                    </w:pPr>
                    <w:r>
                      <w:rPr>
                        <w:rFonts w:ascii="Arial" w:hAnsi="Arial" w:cs="Arial"/>
                        <w:b/>
                        <w:bCs/>
                        <w:color w:val="90C226" w:themeColor="accent1"/>
                      </w:rPr>
                      <w:t>Laurence Petoud</w:t>
                    </w:r>
                  </w:p>
                </w:sdtContent>
              </w:sdt>
              <w:sdt>
                <w:sdtPr>
                  <w:rPr>
                    <w:color w:val="90C226" w:themeColor="accent1"/>
                    <w:sz w:val="28"/>
                    <w:szCs w:val="28"/>
                  </w:rPr>
                  <w:alias w:val="Date"/>
                  <w:tag w:val="Date "/>
                  <w:id w:val="13406932"/>
                  <w:placeholder>
                    <w:docPart w:val="140F377AB5A144B2BFC8F302FBB12FB8"/>
                  </w:placeholder>
                  <w:dataBinding w:prefixMappings="xmlns:ns0='http://schemas.microsoft.com/office/2006/coverPageProps'" w:xpath="/ns0:CoverPageProperties[1]/ns0:PublishDate[1]" w:storeItemID="{55AF091B-3C7A-41E3-B477-F2FDAA23CFDA}"/>
                  <w:date w:fullDate="2025-05-03T00:00:00Z">
                    <w:dateFormat w:val="dd/MM/yyyy"/>
                    <w:lid w:val="fr-FR"/>
                    <w:storeMappedDataAs w:val="dateTime"/>
                    <w:calendar w:val="gregorian"/>
                  </w:date>
                </w:sdtPr>
                <w:sdtEndPr/>
                <w:sdtContent>
                  <w:p w14:paraId="1745B371" w14:textId="77777777" w:rsidR="00E4742B" w:rsidRDefault="00E4742B">
                    <w:pPr>
                      <w:pStyle w:val="Sansinterligne"/>
                      <w:rPr>
                        <w:color w:val="90C226" w:themeColor="accent1"/>
                        <w:sz w:val="28"/>
                        <w:szCs w:val="28"/>
                      </w:rPr>
                    </w:pPr>
                    <w:r>
                      <w:rPr>
                        <w:color w:val="90C226" w:themeColor="accent1"/>
                        <w:sz w:val="28"/>
                        <w:szCs w:val="28"/>
                        <w:lang w:val="fr-FR"/>
                      </w:rPr>
                      <w:t>03/05/2025</w:t>
                    </w:r>
                  </w:p>
                </w:sdtContent>
              </w:sdt>
              <w:p w14:paraId="6801C1CD" w14:textId="77777777" w:rsidR="00E4742B" w:rsidRDefault="00E4742B">
                <w:pPr>
                  <w:pStyle w:val="Sansinterligne"/>
                  <w:rPr>
                    <w:color w:val="90C226" w:themeColor="accent1"/>
                  </w:rPr>
                </w:pPr>
              </w:p>
            </w:tc>
          </w:tr>
        </w:tbl>
        <w:p w14:paraId="69225771" w14:textId="77777777" w:rsidR="00E4742B" w:rsidRDefault="00E4742B">
          <w:r>
            <w:rPr>
              <w:noProof/>
            </w:rPr>
            <w:drawing>
              <wp:anchor distT="0" distB="0" distL="114300" distR="114300" simplePos="0" relativeHeight="251659264" behindDoc="0" locked="0" layoutInCell="1" allowOverlap="1" wp14:anchorId="427BAD8D" wp14:editId="1DBDD749">
                <wp:simplePos x="0" y="0"/>
                <wp:positionH relativeFrom="column">
                  <wp:posOffset>1540510</wp:posOffset>
                </wp:positionH>
                <wp:positionV relativeFrom="paragraph">
                  <wp:posOffset>4334510</wp:posOffset>
                </wp:positionV>
                <wp:extent cx="2184400" cy="2184400"/>
                <wp:effectExtent l="0" t="0" r="6350" b="6350"/>
                <wp:wrapNone/>
                <wp:docPr id="1467234037" name="Image 2" descr="Une image contenant croquis, Visage humain, personne, habits&#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234037" name="Image 2" descr="Une image contenant croquis, Visage humain, personne, habits&#10;&#10;Le contenu généré par l’IA peut être incorrect."/>
                        <pic:cNvPicPr/>
                      </pic:nvPicPr>
                      <pic:blipFill>
                        <a:blip r:embed="rId9"/>
                        <a:stretch>
                          <a:fillRect/>
                        </a:stretch>
                      </pic:blipFill>
                      <pic:spPr>
                        <a:xfrm>
                          <a:off x="0" y="0"/>
                          <a:ext cx="2184400" cy="2184400"/>
                        </a:xfrm>
                        <a:prstGeom prst="rect">
                          <a:avLst/>
                        </a:prstGeom>
                      </pic:spPr>
                    </pic:pic>
                  </a:graphicData>
                </a:graphic>
                <wp14:sizeRelH relativeFrom="margin">
                  <wp14:pctWidth>0</wp14:pctWidth>
                </wp14:sizeRelH>
                <wp14:sizeRelV relativeFrom="margin">
                  <wp14:pctHeight>0</wp14:pctHeight>
                </wp14:sizeRelV>
              </wp:anchor>
            </w:drawing>
          </w:r>
          <w:r>
            <w:br w:type="page"/>
          </w:r>
        </w:p>
      </w:sdtContent>
    </w:sdt>
    <w:p w14:paraId="658184EE" w14:textId="77777777" w:rsidR="002E02D3" w:rsidRDefault="002E02D3"/>
    <w:p w14:paraId="34D59A78" w14:textId="77777777" w:rsidR="00E4742B" w:rsidRPr="00AD6B9D" w:rsidRDefault="00AD6B9D">
      <w:pPr>
        <w:rPr>
          <w:rFonts w:ascii="Arial" w:hAnsi="Arial" w:cs="Arial"/>
          <w:b/>
          <w:bCs/>
          <w:color w:val="53717F" w:themeColor="text2" w:themeTint="BF"/>
        </w:rPr>
      </w:pPr>
      <w:r w:rsidRPr="00AD6B9D">
        <w:rPr>
          <w:rFonts w:ascii="Arial" w:hAnsi="Arial" w:cs="Arial"/>
          <w:b/>
          <w:bCs/>
          <w:color w:val="53717F" w:themeColor="text2" w:themeTint="BF"/>
        </w:rPr>
        <w:t>INTRODUCTION</w:t>
      </w:r>
    </w:p>
    <w:p w14:paraId="0193B8AD" w14:textId="77777777" w:rsidR="00CE58FA" w:rsidRDefault="00CE58FA" w:rsidP="00CE58FA">
      <w:pPr>
        <w:rPr>
          <w:b/>
          <w:bCs/>
        </w:rPr>
      </w:pPr>
    </w:p>
    <w:p w14:paraId="1B20787A" w14:textId="77777777" w:rsidR="00CE58FA" w:rsidRPr="00CE58FA" w:rsidRDefault="00CE58FA" w:rsidP="00CE58FA">
      <w:r w:rsidRPr="00CE58FA">
        <w:rPr>
          <w:b/>
          <w:bCs/>
        </w:rPr>
        <w:t>Bienvenue dans votre univers de perfectionnement et de défis !</w:t>
      </w:r>
      <w:r w:rsidRPr="00CE58FA">
        <w:t xml:space="preserve"> </w:t>
      </w:r>
    </w:p>
    <w:p w14:paraId="47BA9991" w14:textId="77777777" w:rsidR="00607855" w:rsidRDefault="00607855" w:rsidP="00607855">
      <w:r w:rsidRPr="00607855">
        <w:rPr>
          <w:b/>
          <w:bCs/>
        </w:rPr>
        <w:t>Découvrez une ressource complète et interactive sur le droit médical et les droits des patients</w:t>
      </w:r>
      <w:r w:rsidRPr="00607855">
        <w:t xml:space="preserve"> </w:t>
      </w:r>
    </w:p>
    <w:p w14:paraId="5CA22C53" w14:textId="77777777" w:rsidR="00607855" w:rsidRPr="00607855" w:rsidRDefault="00607855" w:rsidP="00607855">
      <w:pPr>
        <w:jc w:val="both"/>
      </w:pPr>
      <w:r w:rsidRPr="00607855">
        <w:t>Que vous soyez étudiant, professionnel de santé ou simplement curieux d’en savoir plus sur le droit des patients, cette banque de documents vous accompagne à chaque étape de votre apprentissage et de votre perfectionnement.</w:t>
      </w:r>
    </w:p>
    <w:p w14:paraId="548B49D0" w14:textId="77777777" w:rsidR="00607855" w:rsidRDefault="00607855" w:rsidP="00607855">
      <w:r w:rsidRPr="00607855">
        <w:t xml:space="preserve">Accédez à une diversité de formats pédagogiques adaptés à tous les niveaux : </w:t>
      </w:r>
    </w:p>
    <w:p w14:paraId="7E9B8C59" w14:textId="77777777" w:rsidR="00607855" w:rsidRDefault="00607855" w:rsidP="00607855">
      <w:r w:rsidRPr="00607855">
        <w:rPr>
          <w:rFonts w:ascii="Segoe UI Symbol" w:hAnsi="Segoe UI Symbol" w:cs="Segoe UI Symbol"/>
        </w:rPr>
        <w:t>✔</w:t>
      </w:r>
      <w:r w:rsidRPr="00607855">
        <w:t xml:space="preserve"> </w:t>
      </w:r>
      <w:r w:rsidRPr="00607855">
        <w:rPr>
          <w:b/>
          <w:bCs/>
        </w:rPr>
        <w:t>Quizz et QCM</w:t>
      </w:r>
      <w:r w:rsidRPr="00607855">
        <w:t xml:space="preserve"> progressifs pour tester vos connaissances </w:t>
      </w:r>
    </w:p>
    <w:p w14:paraId="30641FBB" w14:textId="77777777" w:rsidR="00607855" w:rsidRDefault="00607855" w:rsidP="00607855">
      <w:r w:rsidRPr="00607855">
        <w:rPr>
          <w:rFonts w:ascii="Segoe UI Symbol" w:hAnsi="Segoe UI Symbol" w:cs="Segoe UI Symbol"/>
        </w:rPr>
        <w:t>✔</w:t>
      </w:r>
      <w:r w:rsidRPr="00607855">
        <w:t xml:space="preserve"> </w:t>
      </w:r>
      <w:r w:rsidRPr="00607855">
        <w:rPr>
          <w:b/>
          <w:bCs/>
        </w:rPr>
        <w:t>Cas pratiques</w:t>
      </w:r>
      <w:r w:rsidRPr="00607855">
        <w:t xml:space="preserve"> avec et sans analyse pour affiner votre raisonnement juridique </w:t>
      </w:r>
    </w:p>
    <w:p w14:paraId="0C2203E8" w14:textId="77777777" w:rsidR="00607855" w:rsidRDefault="00607855" w:rsidP="00607855">
      <w:r w:rsidRPr="00607855">
        <w:rPr>
          <w:rFonts w:ascii="Segoe UI Symbol" w:hAnsi="Segoe UI Symbol" w:cs="Segoe UI Symbol"/>
        </w:rPr>
        <w:t>✔</w:t>
      </w:r>
      <w:r w:rsidRPr="00607855">
        <w:t xml:space="preserve"> </w:t>
      </w:r>
      <w:r w:rsidRPr="00607855">
        <w:rPr>
          <w:b/>
          <w:bCs/>
        </w:rPr>
        <w:t>Fiches pratiques</w:t>
      </w:r>
      <w:r w:rsidRPr="00607855">
        <w:t xml:space="preserve"> claires et synthétiques pour une compréhension rapide </w:t>
      </w:r>
    </w:p>
    <w:p w14:paraId="0FFC8CE3" w14:textId="77777777" w:rsidR="00607855" w:rsidRDefault="00607855" w:rsidP="00607855">
      <w:r w:rsidRPr="00607855">
        <w:rPr>
          <w:rFonts w:ascii="Segoe UI Symbol" w:hAnsi="Segoe UI Symbol" w:cs="Segoe UI Symbol"/>
        </w:rPr>
        <w:t>✔</w:t>
      </w:r>
      <w:r w:rsidRPr="00607855">
        <w:t xml:space="preserve"> </w:t>
      </w:r>
      <w:r w:rsidRPr="00607855">
        <w:rPr>
          <w:b/>
          <w:bCs/>
        </w:rPr>
        <w:t xml:space="preserve">Cartes mentales et flash </w:t>
      </w:r>
      <w:proofErr w:type="spellStart"/>
      <w:r w:rsidRPr="00607855">
        <w:rPr>
          <w:b/>
          <w:bCs/>
        </w:rPr>
        <w:t>cards</w:t>
      </w:r>
      <w:proofErr w:type="spellEnd"/>
      <w:r w:rsidRPr="00607855">
        <w:t xml:space="preserve"> pour mémoriser efficacement les notions clés </w:t>
      </w:r>
    </w:p>
    <w:p w14:paraId="66B59D61" w14:textId="77777777" w:rsidR="00607855" w:rsidRPr="00607855" w:rsidRDefault="00607855" w:rsidP="00607855">
      <w:pPr>
        <w:ind w:left="142" w:hanging="142"/>
      </w:pPr>
      <w:r w:rsidRPr="00607855">
        <w:rPr>
          <w:rFonts w:ascii="Segoe UI Symbol" w:hAnsi="Segoe UI Symbol" w:cs="Segoe UI Symbol"/>
        </w:rPr>
        <w:t>✔</w:t>
      </w:r>
      <w:r w:rsidRPr="00607855">
        <w:t xml:space="preserve"> </w:t>
      </w:r>
      <w:r w:rsidRPr="00607855">
        <w:rPr>
          <w:b/>
          <w:bCs/>
        </w:rPr>
        <w:t>Notes de cours enrichies</w:t>
      </w:r>
      <w:r w:rsidRPr="00607855">
        <w:t xml:space="preserve"> tirées d’une préparation approfondie au CAS en droit des patients et de la santé publique</w:t>
      </w:r>
    </w:p>
    <w:p w14:paraId="606385ED" w14:textId="77777777" w:rsidR="00607855" w:rsidRPr="00607855" w:rsidRDefault="00607855" w:rsidP="00607855">
      <w:pPr>
        <w:jc w:val="both"/>
      </w:pPr>
      <w:r w:rsidRPr="00607855">
        <w:t>Pensé pour allier théorie et mise en application, cet ensemble vous offre un outil précieux dans votre démarche d’apprentissage et dans votre pratique professionnelle.</w:t>
      </w:r>
    </w:p>
    <w:p w14:paraId="6515C051" w14:textId="77777777" w:rsidR="00607855" w:rsidRPr="00607855" w:rsidRDefault="00607855" w:rsidP="00607855">
      <w:pPr>
        <w:ind w:left="426" w:hanging="426"/>
        <w:jc w:val="both"/>
      </w:pPr>
      <w:r w:rsidRPr="00607855">
        <w:rPr>
          <w:rFonts w:ascii="Segoe UI Emoji" w:hAnsi="Segoe UI Emoji" w:cs="Segoe UI Emoji"/>
        </w:rPr>
        <w:t>🔍</w:t>
      </w:r>
      <w:r w:rsidRPr="00607855">
        <w:t xml:space="preserve"> Transformez votre approche du droit médical grâce à une méthode structurée, dynamique et interactive !</w:t>
      </w:r>
    </w:p>
    <w:p w14:paraId="0E7FE0DC" w14:textId="77777777" w:rsidR="00CE58FA" w:rsidRPr="00CE58FA" w:rsidRDefault="00CE58FA" w:rsidP="00CE58FA">
      <w:pPr>
        <w:spacing w:line="276" w:lineRule="auto"/>
        <w:jc w:val="both"/>
      </w:pPr>
      <w:r w:rsidRPr="00CE58FA">
        <w:t>Ce fichier est bien plus qu'un simple recueil de ressources : c'est une véritable invitation à explorer, à réfléchir, et à se dépasser. Quizz stimulants, cas pratiques captivants, analyses approfondies… Chaque section a été soigneusement conçue pour éveiller votre curiosité et affûter vos compétences.</w:t>
      </w:r>
    </w:p>
    <w:p w14:paraId="5AE20DF2" w14:textId="77777777" w:rsidR="00607855" w:rsidRDefault="00CE58FA" w:rsidP="00CE58FA">
      <w:pPr>
        <w:spacing w:line="276" w:lineRule="auto"/>
        <w:jc w:val="both"/>
      </w:pPr>
      <w:r w:rsidRPr="00CE58FA">
        <w:t xml:space="preserve">Que vous soyez ici pour tester vos connaissances, affronter des scénarios réalistes ou plonger au cœur de la réflexion critique, vous êtes au bon endroit. </w:t>
      </w:r>
    </w:p>
    <w:p w14:paraId="2D3DD555" w14:textId="77777777" w:rsidR="00CE58FA" w:rsidRPr="00CE58FA" w:rsidRDefault="00CE58FA" w:rsidP="00CE58FA">
      <w:pPr>
        <w:spacing w:line="276" w:lineRule="auto"/>
        <w:jc w:val="both"/>
      </w:pPr>
      <w:r w:rsidRPr="00CE58FA">
        <w:t>Préparez-vous à relever des défis intellectuels, à affiner vos raisonnements, et à construire les bases solides de votre maîtrise.</w:t>
      </w:r>
    </w:p>
    <w:p w14:paraId="382DDE3E" w14:textId="77777777" w:rsidR="00CE58FA" w:rsidRPr="00CE58FA" w:rsidRDefault="00CE58FA" w:rsidP="00CE58FA">
      <w:pPr>
        <w:spacing w:line="276" w:lineRule="auto"/>
        <w:jc w:val="both"/>
      </w:pPr>
      <w:r w:rsidRPr="00CE58FA">
        <w:t xml:space="preserve">Le but du jeu ? Apprendre, progresser et — pourquoi pas — s’amuser un peu en chemin. </w:t>
      </w:r>
    </w:p>
    <w:p w14:paraId="52B3CB7C" w14:textId="77777777" w:rsidR="00CE58FA" w:rsidRPr="00CE58FA" w:rsidRDefault="00CE58FA" w:rsidP="00CE58FA">
      <w:pPr>
        <w:spacing w:line="276" w:lineRule="auto"/>
        <w:jc w:val="both"/>
      </w:pPr>
      <w:r w:rsidRPr="00CE58FA">
        <w:t xml:space="preserve">Alors, laissez-vous guider et découvrez tout ce que cette œuvre a à vous offrir. </w:t>
      </w:r>
    </w:p>
    <w:p w14:paraId="56924184" w14:textId="77777777" w:rsidR="00CE58FA" w:rsidRPr="00CE58FA" w:rsidRDefault="00CE58FA" w:rsidP="00CE58FA">
      <w:pPr>
        <w:spacing w:line="276" w:lineRule="auto"/>
        <w:jc w:val="both"/>
      </w:pPr>
      <w:r w:rsidRPr="00CE58FA">
        <w:t xml:space="preserve">Bonne exploration, et surtout… bon courage ! </w:t>
      </w:r>
    </w:p>
    <w:p w14:paraId="43E84D41" w14:textId="77777777" w:rsidR="00AD6B9D" w:rsidRDefault="00AD6B9D"/>
    <w:p w14:paraId="41E88A75" w14:textId="77777777" w:rsidR="00AD6B9D" w:rsidRDefault="00AD6B9D">
      <w:pPr>
        <w:rPr>
          <w:rFonts w:ascii="Arial" w:hAnsi="Arial" w:cs="Arial"/>
          <w:b/>
          <w:bCs/>
          <w:sz w:val="32"/>
          <w:szCs w:val="32"/>
        </w:rPr>
      </w:pPr>
      <w:r>
        <w:rPr>
          <w:rFonts w:ascii="Arial" w:hAnsi="Arial" w:cs="Arial"/>
          <w:b/>
          <w:bCs/>
          <w:sz w:val="32"/>
          <w:szCs w:val="32"/>
        </w:rPr>
        <w:br w:type="page"/>
      </w:r>
    </w:p>
    <w:p w14:paraId="11148E29" w14:textId="77777777" w:rsidR="00E4742B" w:rsidRDefault="00E4742B" w:rsidP="00E4742B">
      <w:pPr>
        <w:jc w:val="center"/>
        <w:rPr>
          <w:rFonts w:ascii="Arial" w:hAnsi="Arial" w:cs="Arial"/>
          <w:b/>
          <w:bCs/>
          <w:sz w:val="32"/>
          <w:szCs w:val="32"/>
        </w:rPr>
      </w:pPr>
      <w:r w:rsidRPr="00E4742B">
        <w:rPr>
          <w:rFonts w:ascii="Arial" w:hAnsi="Arial" w:cs="Arial"/>
          <w:b/>
          <w:bCs/>
          <w:sz w:val="32"/>
          <w:szCs w:val="32"/>
        </w:rPr>
        <w:lastRenderedPageBreak/>
        <w:t>TABLE DES MATIERES</w:t>
      </w:r>
    </w:p>
    <w:p w14:paraId="5C9E84B3" w14:textId="77777777" w:rsidR="00E4742B" w:rsidRDefault="00E4742B" w:rsidP="00E4742B">
      <w:pPr>
        <w:jc w:val="center"/>
        <w:rPr>
          <w:rFonts w:ascii="Arial" w:hAnsi="Arial" w:cs="Arial"/>
          <w:b/>
          <w:bCs/>
          <w:sz w:val="32"/>
          <w:szCs w:val="32"/>
        </w:rPr>
      </w:pPr>
    </w:p>
    <w:p w14:paraId="48559DA5" w14:textId="77777777" w:rsidR="00536263" w:rsidRDefault="00536263">
      <w:pPr>
        <w:rPr>
          <w:rFonts w:ascii="Arial" w:hAnsi="Arial" w:cs="Arial"/>
          <w:sz w:val="20"/>
          <w:szCs w:val="20"/>
        </w:rPr>
      </w:pPr>
      <w:r>
        <w:rPr>
          <w:rFonts w:ascii="Arial" w:hAnsi="Arial" w:cs="Arial"/>
          <w:sz w:val="20"/>
          <w:szCs w:val="20"/>
        </w:rPr>
        <w:br w:type="page"/>
      </w:r>
    </w:p>
    <w:p w14:paraId="178D9BE2" w14:textId="77777777" w:rsidR="00E4742B" w:rsidRDefault="00E4742B" w:rsidP="00E4742B">
      <w:pPr>
        <w:jc w:val="both"/>
        <w:rPr>
          <w:rFonts w:ascii="Arial" w:hAnsi="Arial" w:cs="Arial"/>
          <w:sz w:val="20"/>
          <w:szCs w:val="20"/>
        </w:rPr>
      </w:pPr>
    </w:p>
    <w:p w14:paraId="2EA1F7E2" w14:textId="77777777" w:rsidR="00536263" w:rsidRPr="00CE58FA" w:rsidRDefault="00536263" w:rsidP="00A41177">
      <w:pPr>
        <w:pStyle w:val="Titre1"/>
        <w:pBdr>
          <w:bottom w:val="none" w:sz="0" w:space="0" w:color="auto"/>
        </w:pBdr>
      </w:pPr>
    </w:p>
    <w:p w14:paraId="16AF5738" w14:textId="77777777" w:rsidR="00AD6B9D" w:rsidRDefault="00607855" w:rsidP="00607855">
      <w:pPr>
        <w:pStyle w:val="Paragraphedeliste"/>
        <w:ind w:left="993"/>
      </w:pPr>
      <w:r>
        <w:br/>
      </w:r>
    </w:p>
    <w:p w14:paraId="78E4DDE8" w14:textId="77777777" w:rsidR="008779B7" w:rsidRPr="008779B7" w:rsidRDefault="008779B7" w:rsidP="008779B7">
      <w:pPr>
        <w:spacing w:before="100" w:beforeAutospacing="1" w:after="100" w:afterAutospacing="1" w:line="240" w:lineRule="auto"/>
        <w:outlineLvl w:val="1"/>
        <w:rPr>
          <w:rFonts w:ascii="Times New Roman" w:eastAsia="Times New Roman" w:hAnsi="Times New Roman" w:cs="Times New Roman"/>
          <w:b/>
          <w:bCs/>
          <w:kern w:val="0"/>
          <w:sz w:val="36"/>
          <w:szCs w:val="36"/>
          <w:lang w:eastAsia="fr-CH"/>
          <w14:ligatures w14:val="none"/>
        </w:rPr>
      </w:pPr>
      <w:r w:rsidRPr="008779B7">
        <w:rPr>
          <w:rFonts w:ascii="Times New Roman" w:eastAsia="Times New Roman" w:hAnsi="Times New Roman" w:cs="Times New Roman"/>
          <w:b/>
          <w:bCs/>
          <w:kern w:val="0"/>
          <w:sz w:val="36"/>
          <w:szCs w:val="36"/>
          <w:lang w:eastAsia="fr-CH"/>
          <w14:ligatures w14:val="none"/>
        </w:rPr>
        <w:t>I – La responsabilité civile du médecin (vue globale)</w:t>
      </w:r>
    </w:p>
    <w:p w14:paraId="7F220107" w14:textId="77777777" w:rsidR="008779B7" w:rsidRPr="008779B7" w:rsidRDefault="008779B7" w:rsidP="008779B7">
      <w:pPr>
        <w:spacing w:before="100" w:beforeAutospacing="1" w:after="100" w:afterAutospacing="1" w:line="240" w:lineRule="auto"/>
        <w:outlineLvl w:val="2"/>
        <w:rPr>
          <w:rFonts w:ascii="Times New Roman" w:eastAsia="Times New Roman" w:hAnsi="Times New Roman" w:cs="Times New Roman"/>
          <w:b/>
          <w:bCs/>
          <w:kern w:val="0"/>
          <w:sz w:val="27"/>
          <w:szCs w:val="27"/>
          <w:lang w:eastAsia="fr-CH"/>
          <w14:ligatures w14:val="none"/>
        </w:rPr>
      </w:pPr>
      <w:r w:rsidRPr="008779B7">
        <w:rPr>
          <w:rFonts w:ascii="Times New Roman" w:eastAsia="Times New Roman" w:hAnsi="Times New Roman" w:cs="Times New Roman"/>
          <w:b/>
          <w:bCs/>
          <w:kern w:val="0"/>
          <w:sz w:val="27"/>
          <w:szCs w:val="27"/>
          <w:lang w:eastAsia="fr-CH"/>
          <w14:ligatures w14:val="none"/>
        </w:rPr>
        <w:t>Cas pratique 1.1 : Erreur de diagnostic en consultation de première ligne</w:t>
      </w:r>
    </w:p>
    <w:p w14:paraId="568E76C8"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Mise en situation :</w:t>
      </w:r>
      <w:r w:rsidRPr="008779B7">
        <w:rPr>
          <w:rFonts w:ascii="Times New Roman" w:eastAsia="Times New Roman" w:hAnsi="Times New Roman" w:cs="Times New Roman"/>
          <w:kern w:val="0"/>
          <w:sz w:val="24"/>
          <w:szCs w:val="24"/>
          <w:lang w:eastAsia="fr-CH"/>
          <w14:ligatures w14:val="none"/>
        </w:rPr>
        <w:t xml:space="preserve"> Un patient se présente aux urgences pour des douleurs abdominales persistantes. Le médecin effectue un examen clinique rapide et diagnostique une gastro-entérite sans prescrire d’examens complémentaires. Quelques jours plus tard, le patient est admis en chirurgie pour une appendicite aiguë non diagnostiquée à temps, entraînant une complication grave.</w:t>
      </w:r>
    </w:p>
    <w:p w14:paraId="326FBFA2"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Réponse argumentée :</w:t>
      </w:r>
      <w:r w:rsidRPr="008779B7">
        <w:rPr>
          <w:rFonts w:ascii="Times New Roman" w:eastAsia="Times New Roman" w:hAnsi="Times New Roman" w:cs="Times New Roman"/>
          <w:kern w:val="0"/>
          <w:sz w:val="24"/>
          <w:szCs w:val="24"/>
          <w:lang w:eastAsia="fr-CH"/>
          <w14:ligatures w14:val="none"/>
        </w:rPr>
        <w:t xml:space="preserve"> Le médecin a manqué à son devoir de moyens en ne procédant pas à une évaluation approfondie. L’omission d’examens complémentaires conduit à une erreur de diagnostic, caractérisée comme faute professionnelle.</w:t>
      </w:r>
    </w:p>
    <w:p w14:paraId="04176FB0"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Articles de loi :</w:t>
      </w:r>
    </w:p>
    <w:p w14:paraId="12247181" w14:textId="77777777" w:rsidR="008779B7" w:rsidRPr="008779B7" w:rsidRDefault="008779B7" w:rsidP="008779B7">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Article 10 du Code de déontologie de la FMH</w:t>
      </w:r>
      <w:r w:rsidRPr="008779B7">
        <w:rPr>
          <w:rFonts w:ascii="Times New Roman" w:eastAsia="Times New Roman" w:hAnsi="Times New Roman" w:cs="Times New Roman"/>
          <w:kern w:val="0"/>
          <w:sz w:val="24"/>
          <w:szCs w:val="24"/>
          <w:lang w:eastAsia="fr-CH"/>
          <w14:ligatures w14:val="none"/>
        </w:rPr>
        <w:t xml:space="preserve"> (devoir d’information et d’examen approfondi)</w:t>
      </w:r>
    </w:p>
    <w:p w14:paraId="1B232F0B" w14:textId="77777777" w:rsidR="008779B7" w:rsidRPr="008779B7" w:rsidRDefault="008779B7" w:rsidP="008779B7">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Dispositions du Code civil suisse</w:t>
      </w:r>
      <w:r w:rsidRPr="008779B7">
        <w:rPr>
          <w:rFonts w:ascii="Times New Roman" w:eastAsia="Times New Roman" w:hAnsi="Times New Roman" w:cs="Times New Roman"/>
          <w:kern w:val="0"/>
          <w:sz w:val="24"/>
          <w:szCs w:val="24"/>
          <w:lang w:eastAsia="fr-CH"/>
          <w14:ligatures w14:val="none"/>
        </w:rPr>
        <w:t xml:space="preserve"> relatives à la faute et à la responsabilité (obligation de diligence)</w:t>
      </w:r>
    </w:p>
    <w:p w14:paraId="2FD06FEB"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Analyse approfondie :</w:t>
      </w:r>
      <w:r w:rsidRPr="008779B7">
        <w:rPr>
          <w:rFonts w:ascii="Times New Roman" w:eastAsia="Times New Roman" w:hAnsi="Times New Roman" w:cs="Times New Roman"/>
          <w:kern w:val="0"/>
          <w:sz w:val="24"/>
          <w:szCs w:val="24"/>
          <w:lang w:eastAsia="fr-CH"/>
          <w14:ligatures w14:val="none"/>
        </w:rPr>
        <w:t xml:space="preserve"> En droit médical, la responsabilité civile repose sur l’obligation de moyens. Le médecin doit agir avec prudence et diligence. Ici, le manquement à une prise en charge diagnostique adéquate crée un lien direct de causalité entre la faute et le dommage subi par le patient.</w:t>
      </w:r>
    </w:p>
    <w:p w14:paraId="6A6269AD"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Tableau récapitulatif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28"/>
        <w:gridCol w:w="3635"/>
        <w:gridCol w:w="4175"/>
      </w:tblGrid>
      <w:tr w:rsidR="008779B7" w:rsidRPr="008779B7" w14:paraId="269742B9" w14:textId="77777777" w:rsidTr="008779B7">
        <w:trPr>
          <w:tblHeader/>
          <w:tblCellSpacing w:w="15" w:type="dxa"/>
        </w:trPr>
        <w:tc>
          <w:tcPr>
            <w:tcW w:w="0" w:type="auto"/>
            <w:vAlign w:val="center"/>
            <w:hideMark/>
          </w:tcPr>
          <w:p w14:paraId="5C7D13D9" w14:textId="77777777" w:rsidR="008779B7" w:rsidRPr="008779B7" w:rsidRDefault="008779B7" w:rsidP="008779B7">
            <w:pPr>
              <w:spacing w:after="0" w:line="240" w:lineRule="auto"/>
              <w:jc w:val="center"/>
              <w:rPr>
                <w:rFonts w:ascii="Times New Roman" w:eastAsia="Times New Roman" w:hAnsi="Times New Roman" w:cs="Times New Roman"/>
                <w:b/>
                <w:bCs/>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Cas pratique</w:t>
            </w:r>
          </w:p>
        </w:tc>
        <w:tc>
          <w:tcPr>
            <w:tcW w:w="0" w:type="auto"/>
            <w:vAlign w:val="center"/>
            <w:hideMark/>
          </w:tcPr>
          <w:p w14:paraId="456F4B4A" w14:textId="77777777" w:rsidR="008779B7" w:rsidRPr="008779B7" w:rsidRDefault="008779B7" w:rsidP="008779B7">
            <w:pPr>
              <w:spacing w:after="0" w:line="240" w:lineRule="auto"/>
              <w:jc w:val="center"/>
              <w:rPr>
                <w:rFonts w:ascii="Times New Roman" w:eastAsia="Times New Roman" w:hAnsi="Times New Roman" w:cs="Times New Roman"/>
                <w:b/>
                <w:bCs/>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Articles de loi</w:t>
            </w:r>
          </w:p>
        </w:tc>
        <w:tc>
          <w:tcPr>
            <w:tcW w:w="0" w:type="auto"/>
            <w:vAlign w:val="center"/>
            <w:hideMark/>
          </w:tcPr>
          <w:p w14:paraId="59A83F75" w14:textId="77777777" w:rsidR="008779B7" w:rsidRPr="008779B7" w:rsidRDefault="008779B7" w:rsidP="008779B7">
            <w:pPr>
              <w:spacing w:after="0" w:line="240" w:lineRule="auto"/>
              <w:jc w:val="center"/>
              <w:rPr>
                <w:rFonts w:ascii="Times New Roman" w:eastAsia="Times New Roman" w:hAnsi="Times New Roman" w:cs="Times New Roman"/>
                <w:b/>
                <w:bCs/>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Résumé</w:t>
            </w:r>
          </w:p>
        </w:tc>
      </w:tr>
      <w:tr w:rsidR="008779B7" w:rsidRPr="008779B7" w14:paraId="2DBCE1A1" w14:textId="77777777" w:rsidTr="008779B7">
        <w:trPr>
          <w:tblCellSpacing w:w="15" w:type="dxa"/>
        </w:trPr>
        <w:tc>
          <w:tcPr>
            <w:tcW w:w="0" w:type="auto"/>
            <w:vAlign w:val="center"/>
            <w:hideMark/>
          </w:tcPr>
          <w:p w14:paraId="13E7772C" w14:textId="77777777" w:rsidR="008779B7" w:rsidRPr="008779B7" w:rsidRDefault="008779B7" w:rsidP="008779B7">
            <w:pPr>
              <w:spacing w:after="0"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kern w:val="0"/>
                <w:sz w:val="24"/>
                <w:szCs w:val="24"/>
                <w:lang w:eastAsia="fr-CH"/>
                <w14:ligatures w14:val="none"/>
              </w:rPr>
              <w:t>1.1 – Erreur de diagnostic</w:t>
            </w:r>
          </w:p>
        </w:tc>
        <w:tc>
          <w:tcPr>
            <w:tcW w:w="0" w:type="auto"/>
            <w:vAlign w:val="center"/>
            <w:hideMark/>
          </w:tcPr>
          <w:p w14:paraId="31D37CCC" w14:textId="77777777" w:rsidR="008779B7" w:rsidRPr="008779B7" w:rsidRDefault="008779B7" w:rsidP="008779B7">
            <w:pPr>
              <w:spacing w:after="0"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kern w:val="0"/>
                <w:sz w:val="24"/>
                <w:szCs w:val="24"/>
                <w:lang w:eastAsia="fr-CH"/>
                <w14:ligatures w14:val="none"/>
              </w:rPr>
              <w:t>Art. 10 Code FMH, Code civil suisse (obligation de diligence)</w:t>
            </w:r>
          </w:p>
        </w:tc>
        <w:tc>
          <w:tcPr>
            <w:tcW w:w="0" w:type="auto"/>
            <w:vAlign w:val="center"/>
            <w:hideMark/>
          </w:tcPr>
          <w:p w14:paraId="19675F3A" w14:textId="77777777" w:rsidR="008779B7" w:rsidRPr="008779B7" w:rsidRDefault="008779B7" w:rsidP="008779B7">
            <w:pPr>
              <w:spacing w:after="0"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kern w:val="0"/>
                <w:sz w:val="24"/>
                <w:szCs w:val="24"/>
                <w:lang w:eastAsia="fr-CH"/>
                <w14:ligatures w14:val="none"/>
              </w:rPr>
              <w:t>Omission d’examens complémentaires entraînant une complication</w:t>
            </w:r>
          </w:p>
        </w:tc>
      </w:tr>
    </w:tbl>
    <w:p w14:paraId="4228A1C0" w14:textId="77777777" w:rsidR="008779B7" w:rsidRPr="008779B7" w:rsidRDefault="008779B7" w:rsidP="008779B7">
      <w:pPr>
        <w:spacing w:before="100" w:beforeAutospacing="1" w:after="100" w:afterAutospacing="1" w:line="240" w:lineRule="auto"/>
        <w:outlineLvl w:val="2"/>
        <w:rPr>
          <w:rFonts w:ascii="Times New Roman" w:eastAsia="Times New Roman" w:hAnsi="Times New Roman" w:cs="Times New Roman"/>
          <w:b/>
          <w:bCs/>
          <w:kern w:val="0"/>
          <w:sz w:val="27"/>
          <w:szCs w:val="27"/>
          <w:lang w:eastAsia="fr-CH"/>
          <w14:ligatures w14:val="none"/>
        </w:rPr>
      </w:pPr>
      <w:r w:rsidRPr="008779B7">
        <w:rPr>
          <w:rFonts w:ascii="Times New Roman" w:eastAsia="Times New Roman" w:hAnsi="Times New Roman" w:cs="Times New Roman"/>
          <w:b/>
          <w:bCs/>
          <w:kern w:val="0"/>
          <w:sz w:val="27"/>
          <w:szCs w:val="27"/>
          <w:lang w:eastAsia="fr-CH"/>
          <w14:ligatures w14:val="none"/>
        </w:rPr>
        <w:t>Cas pratique 1.2 : Prescription inappropriée sans vérification des antécédents</w:t>
      </w:r>
    </w:p>
    <w:p w14:paraId="2BD2086F"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Mise en situation :</w:t>
      </w:r>
      <w:r w:rsidRPr="008779B7">
        <w:rPr>
          <w:rFonts w:ascii="Times New Roman" w:eastAsia="Times New Roman" w:hAnsi="Times New Roman" w:cs="Times New Roman"/>
          <w:kern w:val="0"/>
          <w:sz w:val="24"/>
          <w:szCs w:val="24"/>
          <w:lang w:eastAsia="fr-CH"/>
          <w14:ligatures w14:val="none"/>
        </w:rPr>
        <w:t xml:space="preserve"> Un patient présentant des symptômes d’infection reçoit une prescription antibiotique de la part de son médecin. Ce dernier omet de vérifier les antécédents allergiques du patient, qui développe rapidement une réaction allergique sévère, nécessitant une hospitalisation en soins intensifs.</w:t>
      </w:r>
    </w:p>
    <w:p w14:paraId="339A6151"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Réponse argumentée :</w:t>
      </w:r>
      <w:r w:rsidRPr="008779B7">
        <w:rPr>
          <w:rFonts w:ascii="Times New Roman" w:eastAsia="Times New Roman" w:hAnsi="Times New Roman" w:cs="Times New Roman"/>
          <w:kern w:val="0"/>
          <w:sz w:val="24"/>
          <w:szCs w:val="24"/>
          <w:lang w:eastAsia="fr-CH"/>
          <w14:ligatures w14:val="none"/>
        </w:rPr>
        <w:t xml:space="preserve"> Le manquement à vérifier les antécédents médicaux constitue une négligence. En ne respectant pas les principes de vérification indispensables à une prescription sécurisée, le médecin engage sa responsabilité civile.</w:t>
      </w:r>
    </w:p>
    <w:p w14:paraId="449435D8"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Articles de loi :</w:t>
      </w:r>
    </w:p>
    <w:p w14:paraId="04E27C02" w14:textId="77777777" w:rsidR="008779B7" w:rsidRPr="008779B7" w:rsidRDefault="008779B7" w:rsidP="008779B7">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Article 10 du Code de déontologie de la FMH</w:t>
      </w:r>
      <w:r w:rsidRPr="008779B7">
        <w:rPr>
          <w:rFonts w:ascii="Times New Roman" w:eastAsia="Times New Roman" w:hAnsi="Times New Roman" w:cs="Times New Roman"/>
          <w:kern w:val="0"/>
          <w:sz w:val="24"/>
          <w:szCs w:val="24"/>
          <w:lang w:eastAsia="fr-CH"/>
          <w14:ligatures w14:val="none"/>
        </w:rPr>
        <w:t xml:space="preserve"> (devoir d’information sur les risques)</w:t>
      </w:r>
    </w:p>
    <w:p w14:paraId="7FBC18B6" w14:textId="77777777" w:rsidR="008779B7" w:rsidRPr="008779B7" w:rsidRDefault="008779B7" w:rsidP="008779B7">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lastRenderedPageBreak/>
        <w:t>Dispositions sur la responsabilité en matière médicale</w:t>
      </w:r>
      <w:r w:rsidRPr="008779B7">
        <w:rPr>
          <w:rFonts w:ascii="Times New Roman" w:eastAsia="Times New Roman" w:hAnsi="Times New Roman" w:cs="Times New Roman"/>
          <w:kern w:val="0"/>
          <w:sz w:val="24"/>
          <w:szCs w:val="24"/>
          <w:lang w:eastAsia="fr-CH"/>
          <w14:ligatures w14:val="none"/>
        </w:rPr>
        <w:t xml:space="preserve"> du Code civil (faute personnelle)</w:t>
      </w:r>
    </w:p>
    <w:p w14:paraId="6E0D02F6"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Analyse approfondie :</w:t>
      </w:r>
      <w:r w:rsidRPr="008779B7">
        <w:rPr>
          <w:rFonts w:ascii="Times New Roman" w:eastAsia="Times New Roman" w:hAnsi="Times New Roman" w:cs="Times New Roman"/>
          <w:kern w:val="0"/>
          <w:sz w:val="24"/>
          <w:szCs w:val="24"/>
          <w:lang w:eastAsia="fr-CH"/>
          <w14:ligatures w14:val="none"/>
        </w:rPr>
        <w:t xml:space="preserve"> La prescription d’un médicament nécessite une connaissance approfondie du dossier médical du patient. L’absence de vérification conduit à un manquement à l’obligation d’information et de prudence, établissant ainsi le lien de causalité avec la réaction allergique.</w:t>
      </w:r>
    </w:p>
    <w:p w14:paraId="04379986"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Tableau récapitulatif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47"/>
        <w:gridCol w:w="3720"/>
        <w:gridCol w:w="3671"/>
      </w:tblGrid>
      <w:tr w:rsidR="008779B7" w:rsidRPr="008779B7" w14:paraId="0A94FAB2" w14:textId="77777777" w:rsidTr="008779B7">
        <w:trPr>
          <w:tblHeader/>
          <w:tblCellSpacing w:w="15" w:type="dxa"/>
        </w:trPr>
        <w:tc>
          <w:tcPr>
            <w:tcW w:w="0" w:type="auto"/>
            <w:vAlign w:val="center"/>
            <w:hideMark/>
          </w:tcPr>
          <w:p w14:paraId="64094A6C" w14:textId="77777777" w:rsidR="008779B7" w:rsidRPr="008779B7" w:rsidRDefault="008779B7" w:rsidP="008779B7">
            <w:pPr>
              <w:spacing w:after="0" w:line="240" w:lineRule="auto"/>
              <w:jc w:val="center"/>
              <w:rPr>
                <w:rFonts w:ascii="Times New Roman" w:eastAsia="Times New Roman" w:hAnsi="Times New Roman" w:cs="Times New Roman"/>
                <w:b/>
                <w:bCs/>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Cas pratique</w:t>
            </w:r>
          </w:p>
        </w:tc>
        <w:tc>
          <w:tcPr>
            <w:tcW w:w="0" w:type="auto"/>
            <w:vAlign w:val="center"/>
            <w:hideMark/>
          </w:tcPr>
          <w:p w14:paraId="5378F989" w14:textId="77777777" w:rsidR="008779B7" w:rsidRPr="008779B7" w:rsidRDefault="008779B7" w:rsidP="008779B7">
            <w:pPr>
              <w:spacing w:after="0" w:line="240" w:lineRule="auto"/>
              <w:jc w:val="center"/>
              <w:rPr>
                <w:rFonts w:ascii="Times New Roman" w:eastAsia="Times New Roman" w:hAnsi="Times New Roman" w:cs="Times New Roman"/>
                <w:b/>
                <w:bCs/>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Articles de loi</w:t>
            </w:r>
          </w:p>
        </w:tc>
        <w:tc>
          <w:tcPr>
            <w:tcW w:w="0" w:type="auto"/>
            <w:vAlign w:val="center"/>
            <w:hideMark/>
          </w:tcPr>
          <w:p w14:paraId="6309D09D" w14:textId="77777777" w:rsidR="008779B7" w:rsidRPr="008779B7" w:rsidRDefault="008779B7" w:rsidP="008779B7">
            <w:pPr>
              <w:spacing w:after="0" w:line="240" w:lineRule="auto"/>
              <w:jc w:val="center"/>
              <w:rPr>
                <w:rFonts w:ascii="Times New Roman" w:eastAsia="Times New Roman" w:hAnsi="Times New Roman" w:cs="Times New Roman"/>
                <w:b/>
                <w:bCs/>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Résumé</w:t>
            </w:r>
          </w:p>
        </w:tc>
      </w:tr>
      <w:tr w:rsidR="008779B7" w:rsidRPr="008779B7" w14:paraId="21254AEA" w14:textId="77777777" w:rsidTr="008779B7">
        <w:trPr>
          <w:tblCellSpacing w:w="15" w:type="dxa"/>
        </w:trPr>
        <w:tc>
          <w:tcPr>
            <w:tcW w:w="0" w:type="auto"/>
            <w:vAlign w:val="center"/>
            <w:hideMark/>
          </w:tcPr>
          <w:p w14:paraId="1062221C" w14:textId="77777777" w:rsidR="008779B7" w:rsidRPr="008779B7" w:rsidRDefault="008779B7" w:rsidP="008779B7">
            <w:pPr>
              <w:spacing w:after="0"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kern w:val="0"/>
                <w:sz w:val="24"/>
                <w:szCs w:val="24"/>
                <w:lang w:eastAsia="fr-CH"/>
                <w14:ligatures w14:val="none"/>
              </w:rPr>
              <w:t>1.2 – Prescription inappropriée</w:t>
            </w:r>
          </w:p>
        </w:tc>
        <w:tc>
          <w:tcPr>
            <w:tcW w:w="0" w:type="auto"/>
            <w:vAlign w:val="center"/>
            <w:hideMark/>
          </w:tcPr>
          <w:p w14:paraId="1FC33C6E" w14:textId="77777777" w:rsidR="008779B7" w:rsidRPr="008779B7" w:rsidRDefault="008779B7" w:rsidP="008779B7">
            <w:pPr>
              <w:spacing w:after="0"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kern w:val="0"/>
                <w:sz w:val="24"/>
                <w:szCs w:val="24"/>
                <w:lang w:eastAsia="fr-CH"/>
                <w14:ligatures w14:val="none"/>
              </w:rPr>
              <w:t>Art. 10 Code FMH, Code civil suisse (faute de vérification)</w:t>
            </w:r>
          </w:p>
        </w:tc>
        <w:tc>
          <w:tcPr>
            <w:tcW w:w="0" w:type="auto"/>
            <w:vAlign w:val="center"/>
            <w:hideMark/>
          </w:tcPr>
          <w:p w14:paraId="1FF1FA8A" w14:textId="77777777" w:rsidR="008779B7" w:rsidRPr="008779B7" w:rsidRDefault="008779B7" w:rsidP="008779B7">
            <w:pPr>
              <w:spacing w:after="0"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kern w:val="0"/>
                <w:sz w:val="24"/>
                <w:szCs w:val="24"/>
                <w:lang w:eastAsia="fr-CH"/>
                <w14:ligatures w14:val="none"/>
              </w:rPr>
              <w:t>Négligence dans la vérification des antécédents allergiques</w:t>
            </w:r>
          </w:p>
        </w:tc>
      </w:tr>
    </w:tbl>
    <w:p w14:paraId="2EB7B120" w14:textId="77777777" w:rsidR="008779B7" w:rsidRPr="008779B7" w:rsidRDefault="008779B7" w:rsidP="008779B7">
      <w:pPr>
        <w:spacing w:before="100" w:beforeAutospacing="1" w:after="100" w:afterAutospacing="1" w:line="240" w:lineRule="auto"/>
        <w:outlineLvl w:val="2"/>
        <w:rPr>
          <w:rFonts w:ascii="Times New Roman" w:eastAsia="Times New Roman" w:hAnsi="Times New Roman" w:cs="Times New Roman"/>
          <w:b/>
          <w:bCs/>
          <w:kern w:val="0"/>
          <w:sz w:val="27"/>
          <w:szCs w:val="27"/>
          <w:lang w:eastAsia="fr-CH"/>
          <w14:ligatures w14:val="none"/>
        </w:rPr>
      </w:pPr>
      <w:r w:rsidRPr="008779B7">
        <w:rPr>
          <w:rFonts w:ascii="Times New Roman" w:eastAsia="Times New Roman" w:hAnsi="Times New Roman" w:cs="Times New Roman"/>
          <w:b/>
          <w:bCs/>
          <w:kern w:val="0"/>
          <w:sz w:val="27"/>
          <w:szCs w:val="27"/>
          <w:lang w:eastAsia="fr-CH"/>
          <w14:ligatures w14:val="none"/>
        </w:rPr>
        <w:t xml:space="preserve">Cas pratique 1.3 : Défaut d’information </w:t>
      </w:r>
      <w:proofErr w:type="spellStart"/>
      <w:r w:rsidRPr="008779B7">
        <w:rPr>
          <w:rFonts w:ascii="Times New Roman" w:eastAsia="Times New Roman" w:hAnsi="Times New Roman" w:cs="Times New Roman"/>
          <w:b/>
          <w:bCs/>
          <w:kern w:val="0"/>
          <w:sz w:val="27"/>
          <w:szCs w:val="27"/>
          <w:lang w:eastAsia="fr-CH"/>
          <w14:ligatures w14:val="none"/>
        </w:rPr>
        <w:t>pré-opératoire</w:t>
      </w:r>
      <w:proofErr w:type="spellEnd"/>
    </w:p>
    <w:p w14:paraId="5812E25A"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Mise en situation :</w:t>
      </w:r>
      <w:r w:rsidRPr="008779B7">
        <w:rPr>
          <w:rFonts w:ascii="Times New Roman" w:eastAsia="Times New Roman" w:hAnsi="Times New Roman" w:cs="Times New Roman"/>
          <w:kern w:val="0"/>
          <w:sz w:val="24"/>
          <w:szCs w:val="24"/>
          <w:lang w:eastAsia="fr-CH"/>
          <w14:ligatures w14:val="none"/>
        </w:rPr>
        <w:t xml:space="preserve"> Avant une intervention chirurgicale, un patient n’est pas correctement informé des risques de l’opération. </w:t>
      </w:r>
      <w:proofErr w:type="gramStart"/>
      <w:r w:rsidRPr="008779B7">
        <w:rPr>
          <w:rFonts w:ascii="Times New Roman" w:eastAsia="Times New Roman" w:hAnsi="Times New Roman" w:cs="Times New Roman"/>
          <w:kern w:val="0"/>
          <w:sz w:val="24"/>
          <w:szCs w:val="24"/>
          <w:lang w:eastAsia="fr-CH"/>
          <w14:ligatures w14:val="none"/>
        </w:rPr>
        <w:t>Suite à</w:t>
      </w:r>
      <w:proofErr w:type="gramEnd"/>
      <w:r w:rsidRPr="008779B7">
        <w:rPr>
          <w:rFonts w:ascii="Times New Roman" w:eastAsia="Times New Roman" w:hAnsi="Times New Roman" w:cs="Times New Roman"/>
          <w:kern w:val="0"/>
          <w:sz w:val="24"/>
          <w:szCs w:val="24"/>
          <w:lang w:eastAsia="fr-CH"/>
          <w14:ligatures w14:val="none"/>
        </w:rPr>
        <w:t xml:space="preserve"> la procédure, une complication prévisible se produit, laissant le patient avec des séquelles qu’il n’avait pas envisagées.</w:t>
      </w:r>
    </w:p>
    <w:p w14:paraId="67828CB5"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Réponse argumentée :</w:t>
      </w:r>
      <w:r w:rsidRPr="008779B7">
        <w:rPr>
          <w:rFonts w:ascii="Times New Roman" w:eastAsia="Times New Roman" w:hAnsi="Times New Roman" w:cs="Times New Roman"/>
          <w:kern w:val="0"/>
          <w:sz w:val="24"/>
          <w:szCs w:val="24"/>
          <w:lang w:eastAsia="fr-CH"/>
          <w14:ligatures w14:val="none"/>
        </w:rPr>
        <w:t xml:space="preserve"> Le non-respect du devoir d’information préalable constitue un manquement grave au devoir contractuel et extracontractuel. Le défaut de consentement éclairé engage directement la responsabilité civile du médecin.</w:t>
      </w:r>
    </w:p>
    <w:p w14:paraId="165CD8D1"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Articles de loi :</w:t>
      </w:r>
    </w:p>
    <w:p w14:paraId="02F69455" w14:textId="77777777" w:rsidR="008779B7" w:rsidRPr="008779B7" w:rsidRDefault="008779B7" w:rsidP="008779B7">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Article 10 du Code de déontologie de la FMH</w:t>
      </w:r>
    </w:p>
    <w:p w14:paraId="48A54284" w14:textId="77777777" w:rsidR="008779B7" w:rsidRPr="008779B7" w:rsidRDefault="008779B7" w:rsidP="008779B7">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Jurisprudence relative au consentement éclairé</w:t>
      </w:r>
    </w:p>
    <w:p w14:paraId="06F5A04B" w14:textId="77777777" w:rsidR="008779B7" w:rsidRPr="008779B7" w:rsidRDefault="008779B7" w:rsidP="008779B7">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Articles du Code civil suisse</w:t>
      </w:r>
      <w:r w:rsidRPr="008779B7">
        <w:rPr>
          <w:rFonts w:ascii="Times New Roman" w:eastAsia="Times New Roman" w:hAnsi="Times New Roman" w:cs="Times New Roman"/>
          <w:kern w:val="0"/>
          <w:sz w:val="24"/>
          <w:szCs w:val="24"/>
          <w:lang w:eastAsia="fr-CH"/>
          <w14:ligatures w14:val="none"/>
        </w:rPr>
        <w:t xml:space="preserve"> sur la responsabilité contractuelle</w:t>
      </w:r>
    </w:p>
    <w:p w14:paraId="18131BAA"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Analyse approfondie :</w:t>
      </w:r>
      <w:r w:rsidRPr="008779B7">
        <w:rPr>
          <w:rFonts w:ascii="Times New Roman" w:eastAsia="Times New Roman" w:hAnsi="Times New Roman" w:cs="Times New Roman"/>
          <w:kern w:val="0"/>
          <w:sz w:val="24"/>
          <w:szCs w:val="24"/>
          <w:lang w:eastAsia="fr-CH"/>
          <w14:ligatures w14:val="none"/>
        </w:rPr>
        <w:t xml:space="preserve"> Un consentement éclairé repose sur une information complète et compréhensible des risques. L’absence de cette information facture le médecin d’un manquement qui aurait pu être évité, rendant ainsi la charge du dommage imputable à la faute initiale.</w:t>
      </w:r>
    </w:p>
    <w:p w14:paraId="30190800"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Tableau récapitulatif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97"/>
        <w:gridCol w:w="3952"/>
        <w:gridCol w:w="3689"/>
      </w:tblGrid>
      <w:tr w:rsidR="008779B7" w:rsidRPr="008779B7" w14:paraId="485A749D" w14:textId="77777777" w:rsidTr="008779B7">
        <w:trPr>
          <w:tblHeader/>
          <w:tblCellSpacing w:w="15" w:type="dxa"/>
        </w:trPr>
        <w:tc>
          <w:tcPr>
            <w:tcW w:w="0" w:type="auto"/>
            <w:vAlign w:val="center"/>
            <w:hideMark/>
          </w:tcPr>
          <w:p w14:paraId="4B54A72A" w14:textId="77777777" w:rsidR="008779B7" w:rsidRPr="008779B7" w:rsidRDefault="008779B7" w:rsidP="008779B7">
            <w:pPr>
              <w:spacing w:after="0" w:line="240" w:lineRule="auto"/>
              <w:jc w:val="center"/>
              <w:rPr>
                <w:rFonts w:ascii="Times New Roman" w:eastAsia="Times New Roman" w:hAnsi="Times New Roman" w:cs="Times New Roman"/>
                <w:b/>
                <w:bCs/>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Cas pratique</w:t>
            </w:r>
          </w:p>
        </w:tc>
        <w:tc>
          <w:tcPr>
            <w:tcW w:w="0" w:type="auto"/>
            <w:vAlign w:val="center"/>
            <w:hideMark/>
          </w:tcPr>
          <w:p w14:paraId="099DD4D2" w14:textId="77777777" w:rsidR="008779B7" w:rsidRPr="008779B7" w:rsidRDefault="008779B7" w:rsidP="008779B7">
            <w:pPr>
              <w:spacing w:after="0" w:line="240" w:lineRule="auto"/>
              <w:jc w:val="center"/>
              <w:rPr>
                <w:rFonts w:ascii="Times New Roman" w:eastAsia="Times New Roman" w:hAnsi="Times New Roman" w:cs="Times New Roman"/>
                <w:b/>
                <w:bCs/>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Articles de loi</w:t>
            </w:r>
          </w:p>
        </w:tc>
        <w:tc>
          <w:tcPr>
            <w:tcW w:w="0" w:type="auto"/>
            <w:vAlign w:val="center"/>
            <w:hideMark/>
          </w:tcPr>
          <w:p w14:paraId="06FA389C" w14:textId="77777777" w:rsidR="008779B7" w:rsidRPr="008779B7" w:rsidRDefault="008779B7" w:rsidP="008779B7">
            <w:pPr>
              <w:spacing w:after="0" w:line="240" w:lineRule="auto"/>
              <w:jc w:val="center"/>
              <w:rPr>
                <w:rFonts w:ascii="Times New Roman" w:eastAsia="Times New Roman" w:hAnsi="Times New Roman" w:cs="Times New Roman"/>
                <w:b/>
                <w:bCs/>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Résumé</w:t>
            </w:r>
          </w:p>
        </w:tc>
      </w:tr>
      <w:tr w:rsidR="008779B7" w:rsidRPr="008779B7" w14:paraId="2868F46C" w14:textId="77777777" w:rsidTr="008779B7">
        <w:trPr>
          <w:tblCellSpacing w:w="15" w:type="dxa"/>
        </w:trPr>
        <w:tc>
          <w:tcPr>
            <w:tcW w:w="0" w:type="auto"/>
            <w:vAlign w:val="center"/>
            <w:hideMark/>
          </w:tcPr>
          <w:p w14:paraId="513890DD" w14:textId="77777777" w:rsidR="008779B7" w:rsidRPr="008779B7" w:rsidRDefault="008779B7" w:rsidP="008779B7">
            <w:pPr>
              <w:spacing w:after="0"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kern w:val="0"/>
                <w:sz w:val="24"/>
                <w:szCs w:val="24"/>
                <w:lang w:eastAsia="fr-CH"/>
                <w14:ligatures w14:val="none"/>
              </w:rPr>
              <w:t>1.3 – Défaut d’information</w:t>
            </w:r>
          </w:p>
        </w:tc>
        <w:tc>
          <w:tcPr>
            <w:tcW w:w="0" w:type="auto"/>
            <w:vAlign w:val="center"/>
            <w:hideMark/>
          </w:tcPr>
          <w:p w14:paraId="021A425C" w14:textId="77777777" w:rsidR="008779B7" w:rsidRPr="008779B7" w:rsidRDefault="008779B7" w:rsidP="008779B7">
            <w:pPr>
              <w:spacing w:after="0"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kern w:val="0"/>
                <w:sz w:val="24"/>
                <w:szCs w:val="24"/>
                <w:lang w:eastAsia="fr-CH"/>
                <w14:ligatures w14:val="none"/>
              </w:rPr>
              <w:t>Art. 10 Code FMH, jurisprudence sur consentement éclairé, Code civil</w:t>
            </w:r>
          </w:p>
        </w:tc>
        <w:tc>
          <w:tcPr>
            <w:tcW w:w="0" w:type="auto"/>
            <w:vAlign w:val="center"/>
            <w:hideMark/>
          </w:tcPr>
          <w:p w14:paraId="44706F41" w14:textId="77777777" w:rsidR="008779B7" w:rsidRPr="008779B7" w:rsidRDefault="008779B7" w:rsidP="008779B7">
            <w:pPr>
              <w:spacing w:after="0"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kern w:val="0"/>
                <w:sz w:val="24"/>
                <w:szCs w:val="24"/>
                <w:lang w:eastAsia="fr-CH"/>
                <w14:ligatures w14:val="none"/>
              </w:rPr>
              <w:t>Défaut d’information ayant mené à un non-consentement éclairé</w:t>
            </w:r>
          </w:p>
        </w:tc>
      </w:tr>
    </w:tbl>
    <w:p w14:paraId="5D759B9D" w14:textId="77777777" w:rsidR="008779B7" w:rsidRPr="008779B7" w:rsidRDefault="008779B7" w:rsidP="008779B7">
      <w:pPr>
        <w:spacing w:before="100" w:beforeAutospacing="1" w:after="100" w:afterAutospacing="1" w:line="240" w:lineRule="auto"/>
        <w:outlineLvl w:val="2"/>
        <w:rPr>
          <w:rFonts w:ascii="Times New Roman" w:eastAsia="Times New Roman" w:hAnsi="Times New Roman" w:cs="Times New Roman"/>
          <w:b/>
          <w:bCs/>
          <w:kern w:val="0"/>
          <w:sz w:val="27"/>
          <w:szCs w:val="27"/>
          <w:lang w:eastAsia="fr-CH"/>
          <w14:ligatures w14:val="none"/>
        </w:rPr>
      </w:pPr>
      <w:r w:rsidRPr="008779B7">
        <w:rPr>
          <w:rFonts w:ascii="Times New Roman" w:eastAsia="Times New Roman" w:hAnsi="Times New Roman" w:cs="Times New Roman"/>
          <w:b/>
          <w:bCs/>
          <w:kern w:val="0"/>
          <w:sz w:val="27"/>
          <w:szCs w:val="27"/>
          <w:lang w:eastAsia="fr-CH"/>
          <w14:ligatures w14:val="none"/>
        </w:rPr>
        <w:t>Cas pratique 1.4 : Retard dans le traitement en urgence</w:t>
      </w:r>
    </w:p>
    <w:p w14:paraId="03DFC1B6"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Mise en situation :</w:t>
      </w:r>
      <w:r w:rsidRPr="008779B7">
        <w:rPr>
          <w:rFonts w:ascii="Times New Roman" w:eastAsia="Times New Roman" w:hAnsi="Times New Roman" w:cs="Times New Roman"/>
          <w:kern w:val="0"/>
          <w:sz w:val="24"/>
          <w:szCs w:val="24"/>
          <w:lang w:eastAsia="fr-CH"/>
          <w14:ligatures w14:val="none"/>
        </w:rPr>
        <w:t xml:space="preserve"> Dans un service d’urgence, un patient présentant des signes d’infarctus n’est pas pris en charge immédiatement. Le retard dans le diagnostic et l’intervention conduit à un infarctus étendu et à des séquelles plus importantes.</w:t>
      </w:r>
    </w:p>
    <w:p w14:paraId="3A171745"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Réponse argumentée :</w:t>
      </w:r>
      <w:r w:rsidRPr="008779B7">
        <w:rPr>
          <w:rFonts w:ascii="Times New Roman" w:eastAsia="Times New Roman" w:hAnsi="Times New Roman" w:cs="Times New Roman"/>
          <w:kern w:val="0"/>
          <w:sz w:val="24"/>
          <w:szCs w:val="24"/>
          <w:lang w:eastAsia="fr-CH"/>
          <w14:ligatures w14:val="none"/>
        </w:rPr>
        <w:t xml:space="preserve"> Le délai de prise en charge en situation d’urgence constitue un manquement à l’obligation de soins. Ce retard, imputable à une organisation déficiente et à une fausse évaluation de la situation, engage la responsabilité civile du médecin et de l’équipe médicale.</w:t>
      </w:r>
    </w:p>
    <w:p w14:paraId="22E475BB"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Articles de loi :</w:t>
      </w:r>
    </w:p>
    <w:p w14:paraId="31853B3C" w14:textId="77777777" w:rsidR="008779B7" w:rsidRPr="008779B7" w:rsidRDefault="008779B7" w:rsidP="008779B7">
      <w:pPr>
        <w:numPr>
          <w:ilvl w:val="0"/>
          <w:numId w:val="6"/>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Dispositions du Code civil suisse</w:t>
      </w:r>
      <w:r w:rsidRPr="008779B7">
        <w:rPr>
          <w:rFonts w:ascii="Times New Roman" w:eastAsia="Times New Roman" w:hAnsi="Times New Roman" w:cs="Times New Roman"/>
          <w:kern w:val="0"/>
          <w:sz w:val="24"/>
          <w:szCs w:val="24"/>
          <w:lang w:eastAsia="fr-CH"/>
          <w14:ligatures w14:val="none"/>
        </w:rPr>
        <w:t xml:space="preserve"> relatives à l’obligation de diligence,</w:t>
      </w:r>
    </w:p>
    <w:p w14:paraId="5F3E3E64" w14:textId="77777777" w:rsidR="008779B7" w:rsidRPr="008779B7" w:rsidRDefault="008779B7" w:rsidP="008779B7">
      <w:pPr>
        <w:numPr>
          <w:ilvl w:val="0"/>
          <w:numId w:val="6"/>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lastRenderedPageBreak/>
        <w:t>Règlements internes et directives ministérielles</w:t>
      </w:r>
      <w:r w:rsidRPr="008779B7">
        <w:rPr>
          <w:rFonts w:ascii="Times New Roman" w:eastAsia="Times New Roman" w:hAnsi="Times New Roman" w:cs="Times New Roman"/>
          <w:kern w:val="0"/>
          <w:sz w:val="24"/>
          <w:szCs w:val="24"/>
          <w:lang w:eastAsia="fr-CH"/>
          <w14:ligatures w14:val="none"/>
        </w:rPr>
        <w:t xml:space="preserve"> en matière d’urgence médicale</w:t>
      </w:r>
    </w:p>
    <w:p w14:paraId="71EC7B1C"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Analyse approfondie :</w:t>
      </w:r>
      <w:r w:rsidRPr="008779B7">
        <w:rPr>
          <w:rFonts w:ascii="Times New Roman" w:eastAsia="Times New Roman" w:hAnsi="Times New Roman" w:cs="Times New Roman"/>
          <w:kern w:val="0"/>
          <w:sz w:val="24"/>
          <w:szCs w:val="24"/>
          <w:lang w:eastAsia="fr-CH"/>
          <w14:ligatures w14:val="none"/>
        </w:rPr>
        <w:t xml:space="preserve"> La situation illustre la nécessité d’une évaluation rapide en cas d’urgence. Le retard provoque un aggravation de l’état du patient, mettant en lumière le défaut de coordination et de réactivité, éléments constitutifs d’une faute.</w:t>
      </w:r>
    </w:p>
    <w:p w14:paraId="183BD9E2"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Tableau récapitulatif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73"/>
        <w:gridCol w:w="3645"/>
        <w:gridCol w:w="4320"/>
      </w:tblGrid>
      <w:tr w:rsidR="008779B7" w:rsidRPr="008779B7" w14:paraId="495D1D60" w14:textId="77777777" w:rsidTr="008779B7">
        <w:trPr>
          <w:tblHeader/>
          <w:tblCellSpacing w:w="15" w:type="dxa"/>
        </w:trPr>
        <w:tc>
          <w:tcPr>
            <w:tcW w:w="0" w:type="auto"/>
            <w:vAlign w:val="center"/>
            <w:hideMark/>
          </w:tcPr>
          <w:p w14:paraId="4B227E8E" w14:textId="77777777" w:rsidR="008779B7" w:rsidRPr="008779B7" w:rsidRDefault="008779B7" w:rsidP="008779B7">
            <w:pPr>
              <w:spacing w:after="0" w:line="240" w:lineRule="auto"/>
              <w:jc w:val="center"/>
              <w:rPr>
                <w:rFonts w:ascii="Times New Roman" w:eastAsia="Times New Roman" w:hAnsi="Times New Roman" w:cs="Times New Roman"/>
                <w:b/>
                <w:bCs/>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Cas pratique</w:t>
            </w:r>
          </w:p>
        </w:tc>
        <w:tc>
          <w:tcPr>
            <w:tcW w:w="0" w:type="auto"/>
            <w:vAlign w:val="center"/>
            <w:hideMark/>
          </w:tcPr>
          <w:p w14:paraId="055DE40F" w14:textId="77777777" w:rsidR="008779B7" w:rsidRPr="008779B7" w:rsidRDefault="008779B7" w:rsidP="008779B7">
            <w:pPr>
              <w:spacing w:after="0" w:line="240" w:lineRule="auto"/>
              <w:jc w:val="center"/>
              <w:rPr>
                <w:rFonts w:ascii="Times New Roman" w:eastAsia="Times New Roman" w:hAnsi="Times New Roman" w:cs="Times New Roman"/>
                <w:b/>
                <w:bCs/>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Articles de loi</w:t>
            </w:r>
          </w:p>
        </w:tc>
        <w:tc>
          <w:tcPr>
            <w:tcW w:w="0" w:type="auto"/>
            <w:vAlign w:val="center"/>
            <w:hideMark/>
          </w:tcPr>
          <w:p w14:paraId="7E02B816" w14:textId="77777777" w:rsidR="008779B7" w:rsidRPr="008779B7" w:rsidRDefault="008779B7" w:rsidP="008779B7">
            <w:pPr>
              <w:spacing w:after="0" w:line="240" w:lineRule="auto"/>
              <w:jc w:val="center"/>
              <w:rPr>
                <w:rFonts w:ascii="Times New Roman" w:eastAsia="Times New Roman" w:hAnsi="Times New Roman" w:cs="Times New Roman"/>
                <w:b/>
                <w:bCs/>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Résumé</w:t>
            </w:r>
          </w:p>
        </w:tc>
      </w:tr>
      <w:tr w:rsidR="008779B7" w:rsidRPr="008779B7" w14:paraId="73026B03" w14:textId="77777777" w:rsidTr="008779B7">
        <w:trPr>
          <w:tblCellSpacing w:w="15" w:type="dxa"/>
        </w:trPr>
        <w:tc>
          <w:tcPr>
            <w:tcW w:w="0" w:type="auto"/>
            <w:vAlign w:val="center"/>
            <w:hideMark/>
          </w:tcPr>
          <w:p w14:paraId="143CCF9C" w14:textId="77777777" w:rsidR="008779B7" w:rsidRPr="008779B7" w:rsidRDefault="008779B7" w:rsidP="008779B7">
            <w:pPr>
              <w:spacing w:after="0"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kern w:val="0"/>
                <w:sz w:val="24"/>
                <w:szCs w:val="24"/>
                <w:lang w:eastAsia="fr-CH"/>
                <w14:ligatures w14:val="none"/>
              </w:rPr>
              <w:t>1.4 – Retard en urgence</w:t>
            </w:r>
          </w:p>
        </w:tc>
        <w:tc>
          <w:tcPr>
            <w:tcW w:w="0" w:type="auto"/>
            <w:vAlign w:val="center"/>
            <w:hideMark/>
          </w:tcPr>
          <w:p w14:paraId="7BF53E14" w14:textId="77777777" w:rsidR="008779B7" w:rsidRPr="008779B7" w:rsidRDefault="008779B7" w:rsidP="008779B7">
            <w:pPr>
              <w:spacing w:after="0"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kern w:val="0"/>
                <w:sz w:val="24"/>
                <w:szCs w:val="24"/>
                <w:lang w:eastAsia="fr-CH"/>
                <w14:ligatures w14:val="none"/>
              </w:rPr>
              <w:t>Code civil suisse (obligation de diligence), directives urgences</w:t>
            </w:r>
          </w:p>
        </w:tc>
        <w:tc>
          <w:tcPr>
            <w:tcW w:w="0" w:type="auto"/>
            <w:vAlign w:val="center"/>
            <w:hideMark/>
          </w:tcPr>
          <w:p w14:paraId="0A5B7E21" w14:textId="77777777" w:rsidR="008779B7" w:rsidRPr="008779B7" w:rsidRDefault="008779B7" w:rsidP="008779B7">
            <w:pPr>
              <w:spacing w:after="0"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kern w:val="0"/>
                <w:sz w:val="24"/>
                <w:szCs w:val="24"/>
                <w:lang w:eastAsia="fr-CH"/>
                <w14:ligatures w14:val="none"/>
              </w:rPr>
              <w:t>Retard de prise en charge en urgence causant une aggravation du dommage</w:t>
            </w:r>
          </w:p>
        </w:tc>
      </w:tr>
    </w:tbl>
    <w:p w14:paraId="3ED046AE" w14:textId="77777777" w:rsidR="008779B7" w:rsidRPr="008779B7" w:rsidRDefault="008779B7" w:rsidP="008779B7">
      <w:pPr>
        <w:spacing w:before="100" w:beforeAutospacing="1" w:after="100" w:afterAutospacing="1" w:line="240" w:lineRule="auto"/>
        <w:outlineLvl w:val="2"/>
        <w:rPr>
          <w:rFonts w:ascii="Times New Roman" w:eastAsia="Times New Roman" w:hAnsi="Times New Roman" w:cs="Times New Roman"/>
          <w:b/>
          <w:bCs/>
          <w:kern w:val="0"/>
          <w:sz w:val="27"/>
          <w:szCs w:val="27"/>
          <w:lang w:eastAsia="fr-CH"/>
          <w14:ligatures w14:val="none"/>
        </w:rPr>
      </w:pPr>
      <w:r w:rsidRPr="008779B7">
        <w:rPr>
          <w:rFonts w:ascii="Times New Roman" w:eastAsia="Times New Roman" w:hAnsi="Times New Roman" w:cs="Times New Roman"/>
          <w:b/>
          <w:bCs/>
          <w:kern w:val="0"/>
          <w:sz w:val="27"/>
          <w:szCs w:val="27"/>
          <w:lang w:eastAsia="fr-CH"/>
          <w14:ligatures w14:val="none"/>
        </w:rPr>
        <w:t>Cas pratique 1.5 : Erreur technique lors d'une intervention chirurgicale</w:t>
      </w:r>
    </w:p>
    <w:p w14:paraId="57344CF6"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Mise en situation :</w:t>
      </w:r>
      <w:r w:rsidRPr="008779B7">
        <w:rPr>
          <w:rFonts w:ascii="Times New Roman" w:eastAsia="Times New Roman" w:hAnsi="Times New Roman" w:cs="Times New Roman"/>
          <w:kern w:val="0"/>
          <w:sz w:val="24"/>
          <w:szCs w:val="24"/>
          <w:lang w:eastAsia="fr-CH"/>
          <w14:ligatures w14:val="none"/>
        </w:rPr>
        <w:t xml:space="preserve"> Lors d’une opération programmée, une équipe chirurgicale, par erreur de coordination, opère le mauvais site anatomique. Cette erreur, bien que rapidement corrigée, entraîne une seconde opération et expose le patient à des risques supplémentaires.</w:t>
      </w:r>
    </w:p>
    <w:p w14:paraId="0C796BB6"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Réponse argumentée :</w:t>
      </w:r>
      <w:r w:rsidRPr="008779B7">
        <w:rPr>
          <w:rFonts w:ascii="Times New Roman" w:eastAsia="Times New Roman" w:hAnsi="Times New Roman" w:cs="Times New Roman"/>
          <w:kern w:val="0"/>
          <w:sz w:val="24"/>
          <w:szCs w:val="24"/>
          <w:lang w:eastAsia="fr-CH"/>
          <w14:ligatures w14:val="none"/>
        </w:rPr>
        <w:t xml:space="preserve"> L’erreur technique lors de l’intervention constitue une faute lourde. La coordination imparfaite et l’erreur dans l’identification du site opératoire démontrent le non-respect des procédures de sécurité préétablies.</w:t>
      </w:r>
    </w:p>
    <w:p w14:paraId="2925DFA3"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Articles de loi :</w:t>
      </w:r>
    </w:p>
    <w:p w14:paraId="2D0144BC" w14:textId="77777777" w:rsidR="008779B7" w:rsidRPr="008779B7" w:rsidRDefault="008779B7" w:rsidP="008779B7">
      <w:pPr>
        <w:numPr>
          <w:ilvl w:val="0"/>
          <w:numId w:val="7"/>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Code de déontologie de la FMH</w:t>
      </w:r>
      <w:r w:rsidRPr="008779B7">
        <w:rPr>
          <w:rFonts w:ascii="Times New Roman" w:eastAsia="Times New Roman" w:hAnsi="Times New Roman" w:cs="Times New Roman"/>
          <w:kern w:val="0"/>
          <w:sz w:val="24"/>
          <w:szCs w:val="24"/>
          <w:lang w:eastAsia="fr-CH"/>
          <w14:ligatures w14:val="none"/>
        </w:rPr>
        <w:t xml:space="preserve"> (articles sur la sécurité en salle d’opération)</w:t>
      </w:r>
    </w:p>
    <w:p w14:paraId="24B6B5F1" w14:textId="77777777" w:rsidR="008779B7" w:rsidRPr="008779B7" w:rsidRDefault="008779B7" w:rsidP="008779B7">
      <w:pPr>
        <w:numPr>
          <w:ilvl w:val="0"/>
          <w:numId w:val="7"/>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Code civil suisse</w:t>
      </w:r>
      <w:r w:rsidRPr="008779B7">
        <w:rPr>
          <w:rFonts w:ascii="Times New Roman" w:eastAsia="Times New Roman" w:hAnsi="Times New Roman" w:cs="Times New Roman"/>
          <w:kern w:val="0"/>
          <w:sz w:val="24"/>
          <w:szCs w:val="24"/>
          <w:lang w:eastAsia="fr-CH"/>
          <w14:ligatures w14:val="none"/>
        </w:rPr>
        <w:t xml:space="preserve"> sur la faute professionnelle</w:t>
      </w:r>
    </w:p>
    <w:p w14:paraId="106EA9A2"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Analyse approfondie :</w:t>
      </w:r>
      <w:r w:rsidRPr="008779B7">
        <w:rPr>
          <w:rFonts w:ascii="Times New Roman" w:eastAsia="Times New Roman" w:hAnsi="Times New Roman" w:cs="Times New Roman"/>
          <w:kern w:val="0"/>
          <w:sz w:val="24"/>
          <w:szCs w:val="24"/>
          <w:lang w:eastAsia="fr-CH"/>
          <w14:ligatures w14:val="none"/>
        </w:rPr>
        <w:t xml:space="preserve"> La sécurité en salle d’opération repose sur des protocoles stricts. Le non-respect de ces règles entraine une erreur grave, dont la réparation financière permet de compenser le préjudice subi par le patient.</w:t>
      </w:r>
    </w:p>
    <w:p w14:paraId="006E5F7B"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Tableau récapitulatif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49"/>
        <w:gridCol w:w="4068"/>
        <w:gridCol w:w="4021"/>
      </w:tblGrid>
      <w:tr w:rsidR="008779B7" w:rsidRPr="008779B7" w14:paraId="6645D91F" w14:textId="77777777" w:rsidTr="008779B7">
        <w:trPr>
          <w:tblHeader/>
          <w:tblCellSpacing w:w="15" w:type="dxa"/>
        </w:trPr>
        <w:tc>
          <w:tcPr>
            <w:tcW w:w="0" w:type="auto"/>
            <w:vAlign w:val="center"/>
            <w:hideMark/>
          </w:tcPr>
          <w:p w14:paraId="2551AAEE" w14:textId="77777777" w:rsidR="008779B7" w:rsidRPr="008779B7" w:rsidRDefault="008779B7" w:rsidP="008779B7">
            <w:pPr>
              <w:spacing w:after="0" w:line="240" w:lineRule="auto"/>
              <w:jc w:val="center"/>
              <w:rPr>
                <w:rFonts w:ascii="Times New Roman" w:eastAsia="Times New Roman" w:hAnsi="Times New Roman" w:cs="Times New Roman"/>
                <w:b/>
                <w:bCs/>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Cas pratique</w:t>
            </w:r>
          </w:p>
        </w:tc>
        <w:tc>
          <w:tcPr>
            <w:tcW w:w="0" w:type="auto"/>
            <w:vAlign w:val="center"/>
            <w:hideMark/>
          </w:tcPr>
          <w:p w14:paraId="49173D9C" w14:textId="77777777" w:rsidR="008779B7" w:rsidRPr="008779B7" w:rsidRDefault="008779B7" w:rsidP="008779B7">
            <w:pPr>
              <w:spacing w:after="0" w:line="240" w:lineRule="auto"/>
              <w:jc w:val="center"/>
              <w:rPr>
                <w:rFonts w:ascii="Times New Roman" w:eastAsia="Times New Roman" w:hAnsi="Times New Roman" w:cs="Times New Roman"/>
                <w:b/>
                <w:bCs/>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Articles de loi</w:t>
            </w:r>
          </w:p>
        </w:tc>
        <w:tc>
          <w:tcPr>
            <w:tcW w:w="0" w:type="auto"/>
            <w:vAlign w:val="center"/>
            <w:hideMark/>
          </w:tcPr>
          <w:p w14:paraId="1BA36426" w14:textId="77777777" w:rsidR="008779B7" w:rsidRPr="008779B7" w:rsidRDefault="008779B7" w:rsidP="008779B7">
            <w:pPr>
              <w:spacing w:after="0" w:line="240" w:lineRule="auto"/>
              <w:jc w:val="center"/>
              <w:rPr>
                <w:rFonts w:ascii="Times New Roman" w:eastAsia="Times New Roman" w:hAnsi="Times New Roman" w:cs="Times New Roman"/>
                <w:b/>
                <w:bCs/>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Résumé</w:t>
            </w:r>
          </w:p>
        </w:tc>
      </w:tr>
      <w:tr w:rsidR="008779B7" w:rsidRPr="008779B7" w14:paraId="3AD2164E" w14:textId="77777777" w:rsidTr="008779B7">
        <w:trPr>
          <w:tblCellSpacing w:w="15" w:type="dxa"/>
        </w:trPr>
        <w:tc>
          <w:tcPr>
            <w:tcW w:w="0" w:type="auto"/>
            <w:vAlign w:val="center"/>
            <w:hideMark/>
          </w:tcPr>
          <w:p w14:paraId="20A779DE" w14:textId="77777777" w:rsidR="008779B7" w:rsidRPr="008779B7" w:rsidRDefault="008779B7" w:rsidP="008779B7">
            <w:pPr>
              <w:spacing w:after="0"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kern w:val="0"/>
                <w:sz w:val="24"/>
                <w:szCs w:val="24"/>
                <w:lang w:eastAsia="fr-CH"/>
                <w14:ligatures w14:val="none"/>
              </w:rPr>
              <w:t>1.5 – Erreur technique</w:t>
            </w:r>
          </w:p>
        </w:tc>
        <w:tc>
          <w:tcPr>
            <w:tcW w:w="0" w:type="auto"/>
            <w:vAlign w:val="center"/>
            <w:hideMark/>
          </w:tcPr>
          <w:p w14:paraId="53FAF9F0" w14:textId="77777777" w:rsidR="008779B7" w:rsidRPr="008779B7" w:rsidRDefault="008779B7" w:rsidP="008779B7">
            <w:pPr>
              <w:spacing w:after="0"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kern w:val="0"/>
                <w:sz w:val="24"/>
                <w:szCs w:val="24"/>
                <w:lang w:eastAsia="fr-CH"/>
                <w14:ligatures w14:val="none"/>
              </w:rPr>
              <w:t>Code FMH (sécurité opératoire), Code civil suisse (faute professionnelle)</w:t>
            </w:r>
          </w:p>
        </w:tc>
        <w:tc>
          <w:tcPr>
            <w:tcW w:w="0" w:type="auto"/>
            <w:vAlign w:val="center"/>
            <w:hideMark/>
          </w:tcPr>
          <w:p w14:paraId="5E53402E" w14:textId="77777777" w:rsidR="008779B7" w:rsidRPr="008779B7" w:rsidRDefault="008779B7" w:rsidP="008779B7">
            <w:pPr>
              <w:spacing w:after="0"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kern w:val="0"/>
                <w:sz w:val="24"/>
                <w:szCs w:val="24"/>
                <w:lang w:eastAsia="fr-CH"/>
                <w14:ligatures w14:val="none"/>
              </w:rPr>
              <w:t>Erreur de coordination en salle d’opération et identification du mauvais site</w:t>
            </w:r>
          </w:p>
        </w:tc>
      </w:tr>
    </w:tbl>
    <w:p w14:paraId="28AE6FE6" w14:textId="77777777" w:rsidR="008779B7" w:rsidRPr="008779B7" w:rsidRDefault="008779B7" w:rsidP="008779B7">
      <w:pPr>
        <w:spacing w:before="100" w:beforeAutospacing="1" w:after="100" w:afterAutospacing="1" w:line="240" w:lineRule="auto"/>
        <w:outlineLvl w:val="1"/>
        <w:rPr>
          <w:rFonts w:ascii="Times New Roman" w:eastAsia="Times New Roman" w:hAnsi="Times New Roman" w:cs="Times New Roman"/>
          <w:b/>
          <w:bCs/>
          <w:kern w:val="0"/>
          <w:sz w:val="36"/>
          <w:szCs w:val="36"/>
          <w:lang w:eastAsia="fr-CH"/>
          <w14:ligatures w14:val="none"/>
        </w:rPr>
      </w:pPr>
      <w:r w:rsidRPr="008779B7">
        <w:rPr>
          <w:rFonts w:ascii="Times New Roman" w:eastAsia="Times New Roman" w:hAnsi="Times New Roman" w:cs="Times New Roman"/>
          <w:b/>
          <w:bCs/>
          <w:kern w:val="0"/>
          <w:sz w:val="36"/>
          <w:szCs w:val="36"/>
          <w:lang w:eastAsia="fr-CH"/>
          <w14:ligatures w14:val="none"/>
        </w:rPr>
        <w:t>II – La responsabilité individuelle du médecin en droit privé</w:t>
      </w:r>
    </w:p>
    <w:p w14:paraId="4707A1EC" w14:textId="77777777" w:rsidR="008779B7" w:rsidRPr="008779B7" w:rsidRDefault="008779B7" w:rsidP="008779B7">
      <w:pPr>
        <w:spacing w:before="100" w:beforeAutospacing="1" w:after="100" w:afterAutospacing="1" w:line="240" w:lineRule="auto"/>
        <w:outlineLvl w:val="2"/>
        <w:rPr>
          <w:rFonts w:ascii="Times New Roman" w:eastAsia="Times New Roman" w:hAnsi="Times New Roman" w:cs="Times New Roman"/>
          <w:b/>
          <w:bCs/>
          <w:kern w:val="0"/>
          <w:sz w:val="27"/>
          <w:szCs w:val="27"/>
          <w:lang w:eastAsia="fr-CH"/>
          <w14:ligatures w14:val="none"/>
        </w:rPr>
      </w:pPr>
      <w:r w:rsidRPr="008779B7">
        <w:rPr>
          <w:rFonts w:ascii="Times New Roman" w:eastAsia="Times New Roman" w:hAnsi="Times New Roman" w:cs="Times New Roman"/>
          <w:b/>
          <w:bCs/>
          <w:kern w:val="0"/>
          <w:sz w:val="27"/>
          <w:szCs w:val="27"/>
          <w:lang w:eastAsia="fr-CH"/>
          <w14:ligatures w14:val="none"/>
        </w:rPr>
        <w:t>Cas pratique 2.1 : Négligence dans l’exécution personnelle d’un geste technique</w:t>
      </w:r>
    </w:p>
    <w:p w14:paraId="0ADBACA2"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Mise en situation :</w:t>
      </w:r>
      <w:r w:rsidRPr="008779B7">
        <w:rPr>
          <w:rFonts w:ascii="Times New Roman" w:eastAsia="Times New Roman" w:hAnsi="Times New Roman" w:cs="Times New Roman"/>
          <w:kern w:val="0"/>
          <w:sz w:val="24"/>
          <w:szCs w:val="24"/>
          <w:lang w:eastAsia="fr-CH"/>
          <w14:ligatures w14:val="none"/>
        </w:rPr>
        <w:t xml:space="preserve"> Un médecin réalise lui-même un acte invasif (ponction veineuse) sans recourir à des techniques d’asepsie suffisamment rigoureuses. Le patient contracte une infection grave liée à un défaut de technique, imputable directement au médecin.</w:t>
      </w:r>
    </w:p>
    <w:p w14:paraId="287A8AC9"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Réponse argumentée :</w:t>
      </w:r>
      <w:r w:rsidRPr="008779B7">
        <w:rPr>
          <w:rFonts w:ascii="Times New Roman" w:eastAsia="Times New Roman" w:hAnsi="Times New Roman" w:cs="Times New Roman"/>
          <w:kern w:val="0"/>
          <w:sz w:val="24"/>
          <w:szCs w:val="24"/>
          <w:lang w:eastAsia="fr-CH"/>
          <w14:ligatures w14:val="none"/>
        </w:rPr>
        <w:t xml:space="preserve"> La responsabilité individuelle se caractérise ici par l’inexécution de sa propre obligation de prudence lors d’un geste technique. Le défaut d’asepsie constitue une faute personnelle.</w:t>
      </w:r>
    </w:p>
    <w:p w14:paraId="002B02E3"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lastRenderedPageBreak/>
        <w:t>Articles de loi :</w:t>
      </w:r>
    </w:p>
    <w:p w14:paraId="0D1A64FB" w14:textId="77777777" w:rsidR="008779B7" w:rsidRPr="008779B7" w:rsidRDefault="008779B7" w:rsidP="008779B7">
      <w:pPr>
        <w:numPr>
          <w:ilvl w:val="0"/>
          <w:numId w:val="8"/>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Article 12 du Code de déontologie FMH</w:t>
      </w:r>
      <w:r w:rsidRPr="008779B7">
        <w:rPr>
          <w:rFonts w:ascii="Times New Roman" w:eastAsia="Times New Roman" w:hAnsi="Times New Roman" w:cs="Times New Roman"/>
          <w:kern w:val="0"/>
          <w:sz w:val="24"/>
          <w:szCs w:val="24"/>
          <w:lang w:eastAsia="fr-CH"/>
          <w14:ligatures w14:val="none"/>
        </w:rPr>
        <w:t xml:space="preserve"> (exigence de qualité technique)</w:t>
      </w:r>
    </w:p>
    <w:p w14:paraId="48A0B299" w14:textId="77777777" w:rsidR="008779B7" w:rsidRPr="008779B7" w:rsidRDefault="008779B7" w:rsidP="008779B7">
      <w:pPr>
        <w:numPr>
          <w:ilvl w:val="0"/>
          <w:numId w:val="8"/>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Dispositions du Code civil suisse</w:t>
      </w:r>
      <w:r w:rsidRPr="008779B7">
        <w:rPr>
          <w:rFonts w:ascii="Times New Roman" w:eastAsia="Times New Roman" w:hAnsi="Times New Roman" w:cs="Times New Roman"/>
          <w:kern w:val="0"/>
          <w:sz w:val="24"/>
          <w:szCs w:val="24"/>
          <w:lang w:eastAsia="fr-CH"/>
          <w14:ligatures w14:val="none"/>
        </w:rPr>
        <w:t xml:space="preserve"> sur la faute personnelle</w:t>
      </w:r>
    </w:p>
    <w:p w14:paraId="57F06F63"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Analyse approfondie :</w:t>
      </w:r>
      <w:r w:rsidRPr="008779B7">
        <w:rPr>
          <w:rFonts w:ascii="Times New Roman" w:eastAsia="Times New Roman" w:hAnsi="Times New Roman" w:cs="Times New Roman"/>
          <w:kern w:val="0"/>
          <w:sz w:val="24"/>
          <w:szCs w:val="24"/>
          <w:lang w:eastAsia="fr-CH"/>
          <w14:ligatures w14:val="none"/>
        </w:rPr>
        <w:t xml:space="preserve"> Le praticien est individuellement responsable dès lors que ses manquements relèvent de son action propre, et non d’une organisation défaillante. La relation de causalité entre la faute technique et l’infection est clairement établie.</w:t>
      </w:r>
    </w:p>
    <w:p w14:paraId="3DEE1563"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Tableau récapitulatif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83"/>
        <w:gridCol w:w="3610"/>
        <w:gridCol w:w="3545"/>
      </w:tblGrid>
      <w:tr w:rsidR="008779B7" w:rsidRPr="008779B7" w14:paraId="6F58FE42" w14:textId="77777777" w:rsidTr="008779B7">
        <w:trPr>
          <w:tblHeader/>
          <w:tblCellSpacing w:w="15" w:type="dxa"/>
        </w:trPr>
        <w:tc>
          <w:tcPr>
            <w:tcW w:w="0" w:type="auto"/>
            <w:vAlign w:val="center"/>
            <w:hideMark/>
          </w:tcPr>
          <w:p w14:paraId="71B74A6F" w14:textId="77777777" w:rsidR="008779B7" w:rsidRPr="008779B7" w:rsidRDefault="008779B7" w:rsidP="008779B7">
            <w:pPr>
              <w:spacing w:after="0" w:line="240" w:lineRule="auto"/>
              <w:jc w:val="center"/>
              <w:rPr>
                <w:rFonts w:ascii="Times New Roman" w:eastAsia="Times New Roman" w:hAnsi="Times New Roman" w:cs="Times New Roman"/>
                <w:b/>
                <w:bCs/>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Cas pratique</w:t>
            </w:r>
          </w:p>
        </w:tc>
        <w:tc>
          <w:tcPr>
            <w:tcW w:w="0" w:type="auto"/>
            <w:vAlign w:val="center"/>
            <w:hideMark/>
          </w:tcPr>
          <w:p w14:paraId="1FAF6B81" w14:textId="77777777" w:rsidR="008779B7" w:rsidRPr="008779B7" w:rsidRDefault="008779B7" w:rsidP="008779B7">
            <w:pPr>
              <w:spacing w:after="0" w:line="240" w:lineRule="auto"/>
              <w:jc w:val="center"/>
              <w:rPr>
                <w:rFonts w:ascii="Times New Roman" w:eastAsia="Times New Roman" w:hAnsi="Times New Roman" w:cs="Times New Roman"/>
                <w:b/>
                <w:bCs/>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Articles de loi</w:t>
            </w:r>
          </w:p>
        </w:tc>
        <w:tc>
          <w:tcPr>
            <w:tcW w:w="0" w:type="auto"/>
            <w:vAlign w:val="center"/>
            <w:hideMark/>
          </w:tcPr>
          <w:p w14:paraId="27BBEBFD" w14:textId="77777777" w:rsidR="008779B7" w:rsidRPr="008779B7" w:rsidRDefault="008779B7" w:rsidP="008779B7">
            <w:pPr>
              <w:spacing w:after="0" w:line="240" w:lineRule="auto"/>
              <w:jc w:val="center"/>
              <w:rPr>
                <w:rFonts w:ascii="Times New Roman" w:eastAsia="Times New Roman" w:hAnsi="Times New Roman" w:cs="Times New Roman"/>
                <w:b/>
                <w:bCs/>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Résumé</w:t>
            </w:r>
          </w:p>
        </w:tc>
      </w:tr>
      <w:tr w:rsidR="008779B7" w:rsidRPr="008779B7" w14:paraId="6F61A2C9" w14:textId="77777777" w:rsidTr="008779B7">
        <w:trPr>
          <w:tblCellSpacing w:w="15" w:type="dxa"/>
        </w:trPr>
        <w:tc>
          <w:tcPr>
            <w:tcW w:w="0" w:type="auto"/>
            <w:vAlign w:val="center"/>
            <w:hideMark/>
          </w:tcPr>
          <w:p w14:paraId="441F1067" w14:textId="77777777" w:rsidR="008779B7" w:rsidRPr="008779B7" w:rsidRDefault="008779B7" w:rsidP="008779B7">
            <w:pPr>
              <w:spacing w:after="0"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kern w:val="0"/>
                <w:sz w:val="24"/>
                <w:szCs w:val="24"/>
                <w:lang w:eastAsia="fr-CH"/>
                <w14:ligatures w14:val="none"/>
              </w:rPr>
              <w:t>2.1 – Défaut d’asepsie lors d’un geste</w:t>
            </w:r>
          </w:p>
        </w:tc>
        <w:tc>
          <w:tcPr>
            <w:tcW w:w="0" w:type="auto"/>
            <w:vAlign w:val="center"/>
            <w:hideMark/>
          </w:tcPr>
          <w:p w14:paraId="76C524F1" w14:textId="77777777" w:rsidR="008779B7" w:rsidRPr="008779B7" w:rsidRDefault="008779B7" w:rsidP="008779B7">
            <w:pPr>
              <w:spacing w:after="0"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kern w:val="0"/>
                <w:sz w:val="24"/>
                <w:szCs w:val="24"/>
                <w:lang w:eastAsia="fr-CH"/>
                <w14:ligatures w14:val="none"/>
              </w:rPr>
              <w:t>Art. 12 Code FMH, Code civil suisse (faute personnelle)</w:t>
            </w:r>
          </w:p>
        </w:tc>
        <w:tc>
          <w:tcPr>
            <w:tcW w:w="0" w:type="auto"/>
            <w:vAlign w:val="center"/>
            <w:hideMark/>
          </w:tcPr>
          <w:p w14:paraId="0427367A" w14:textId="77777777" w:rsidR="008779B7" w:rsidRPr="008779B7" w:rsidRDefault="008779B7" w:rsidP="008779B7">
            <w:pPr>
              <w:spacing w:after="0"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kern w:val="0"/>
                <w:sz w:val="24"/>
                <w:szCs w:val="24"/>
                <w:lang w:eastAsia="fr-CH"/>
                <w14:ligatures w14:val="none"/>
              </w:rPr>
              <w:t>Non-respect des règles d’asepsie entraînant une infection</w:t>
            </w:r>
          </w:p>
        </w:tc>
      </w:tr>
    </w:tbl>
    <w:p w14:paraId="0FAEE944" w14:textId="77777777" w:rsidR="008779B7" w:rsidRPr="008779B7" w:rsidRDefault="008779B7" w:rsidP="008779B7">
      <w:pPr>
        <w:spacing w:before="100" w:beforeAutospacing="1" w:after="100" w:afterAutospacing="1" w:line="240" w:lineRule="auto"/>
        <w:outlineLvl w:val="2"/>
        <w:rPr>
          <w:rFonts w:ascii="Times New Roman" w:eastAsia="Times New Roman" w:hAnsi="Times New Roman" w:cs="Times New Roman"/>
          <w:b/>
          <w:bCs/>
          <w:kern w:val="0"/>
          <w:sz w:val="27"/>
          <w:szCs w:val="27"/>
          <w:lang w:eastAsia="fr-CH"/>
          <w14:ligatures w14:val="none"/>
        </w:rPr>
      </w:pPr>
      <w:r w:rsidRPr="008779B7">
        <w:rPr>
          <w:rFonts w:ascii="Times New Roman" w:eastAsia="Times New Roman" w:hAnsi="Times New Roman" w:cs="Times New Roman"/>
          <w:b/>
          <w:bCs/>
          <w:kern w:val="0"/>
          <w:sz w:val="27"/>
          <w:szCs w:val="27"/>
          <w:lang w:eastAsia="fr-CH"/>
          <w14:ligatures w14:val="none"/>
        </w:rPr>
        <w:t>Cas pratique 2.2 : Application d’une méthode non reconnue</w:t>
      </w:r>
    </w:p>
    <w:p w14:paraId="44378D13"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Mise en situation :</w:t>
      </w:r>
      <w:r w:rsidRPr="008779B7">
        <w:rPr>
          <w:rFonts w:ascii="Times New Roman" w:eastAsia="Times New Roman" w:hAnsi="Times New Roman" w:cs="Times New Roman"/>
          <w:kern w:val="0"/>
          <w:sz w:val="24"/>
          <w:szCs w:val="24"/>
          <w:lang w:eastAsia="fr-CH"/>
          <w14:ligatures w14:val="none"/>
        </w:rPr>
        <w:t xml:space="preserve"> Un médecin décide d’utiliser une méthode thérapeutique innovante, non encore validée scientifiquement, sans recueillir le consentement spécifique du patient ni informer de l’absence de validation de la technique. Le patient subit alors un traitement inefficace et potentiellement dangereux.</w:t>
      </w:r>
    </w:p>
    <w:p w14:paraId="222BF4A9"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Réponse argumentée :</w:t>
      </w:r>
      <w:r w:rsidRPr="008779B7">
        <w:rPr>
          <w:rFonts w:ascii="Times New Roman" w:eastAsia="Times New Roman" w:hAnsi="Times New Roman" w:cs="Times New Roman"/>
          <w:kern w:val="0"/>
          <w:sz w:val="24"/>
          <w:szCs w:val="24"/>
          <w:lang w:eastAsia="fr-CH"/>
          <w14:ligatures w14:val="none"/>
        </w:rPr>
        <w:t xml:space="preserve"> Le recours à une méthode non éprouvée sans en informer le patient constitue une faute en matière de responsabilité individuelle. Le manquement à l’éthique et à l’obligation d’information engage directement sa responsabilité.</w:t>
      </w:r>
    </w:p>
    <w:p w14:paraId="0B55BA4F"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Articles de loi :</w:t>
      </w:r>
    </w:p>
    <w:p w14:paraId="72D9240A" w14:textId="77777777" w:rsidR="008779B7" w:rsidRPr="008779B7" w:rsidRDefault="008779B7" w:rsidP="008779B7">
      <w:pPr>
        <w:numPr>
          <w:ilvl w:val="0"/>
          <w:numId w:val="9"/>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Code de déontologie FMH, articles sur l’expérimentation thérapeutique</w:t>
      </w:r>
    </w:p>
    <w:p w14:paraId="0F488E72" w14:textId="77777777" w:rsidR="008779B7" w:rsidRPr="008779B7" w:rsidRDefault="008779B7" w:rsidP="008779B7">
      <w:pPr>
        <w:numPr>
          <w:ilvl w:val="0"/>
          <w:numId w:val="9"/>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Dispositions du Code civil suisse</w:t>
      </w:r>
      <w:r w:rsidRPr="008779B7">
        <w:rPr>
          <w:rFonts w:ascii="Times New Roman" w:eastAsia="Times New Roman" w:hAnsi="Times New Roman" w:cs="Times New Roman"/>
          <w:kern w:val="0"/>
          <w:sz w:val="24"/>
          <w:szCs w:val="24"/>
          <w:lang w:eastAsia="fr-CH"/>
          <w14:ligatures w14:val="none"/>
        </w:rPr>
        <w:t xml:space="preserve"> portant sur la faute personnelle et le devoir de prudence</w:t>
      </w:r>
    </w:p>
    <w:p w14:paraId="6D8D53CC"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Analyse approfondie :</w:t>
      </w:r>
      <w:r w:rsidRPr="008779B7">
        <w:rPr>
          <w:rFonts w:ascii="Times New Roman" w:eastAsia="Times New Roman" w:hAnsi="Times New Roman" w:cs="Times New Roman"/>
          <w:kern w:val="0"/>
          <w:sz w:val="24"/>
          <w:szCs w:val="24"/>
          <w:lang w:eastAsia="fr-CH"/>
          <w14:ligatures w14:val="none"/>
        </w:rPr>
        <w:t xml:space="preserve"> L’introduction d’une technique non validée viole le principe de précaution. La responsabilité du médecin est engagée car il a choisi d’agir en dehors des pratiques reconnues sans consentement éclairé.</w:t>
      </w:r>
    </w:p>
    <w:p w14:paraId="61D4B5A3"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Tableau récapitulatif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94"/>
        <w:gridCol w:w="4476"/>
        <w:gridCol w:w="3368"/>
      </w:tblGrid>
      <w:tr w:rsidR="008779B7" w:rsidRPr="008779B7" w14:paraId="295E3056" w14:textId="77777777" w:rsidTr="008779B7">
        <w:trPr>
          <w:tblHeader/>
          <w:tblCellSpacing w:w="15" w:type="dxa"/>
        </w:trPr>
        <w:tc>
          <w:tcPr>
            <w:tcW w:w="0" w:type="auto"/>
            <w:vAlign w:val="center"/>
            <w:hideMark/>
          </w:tcPr>
          <w:p w14:paraId="38492A39" w14:textId="77777777" w:rsidR="008779B7" w:rsidRPr="008779B7" w:rsidRDefault="008779B7" w:rsidP="008779B7">
            <w:pPr>
              <w:spacing w:after="0" w:line="240" w:lineRule="auto"/>
              <w:jc w:val="center"/>
              <w:rPr>
                <w:rFonts w:ascii="Times New Roman" w:eastAsia="Times New Roman" w:hAnsi="Times New Roman" w:cs="Times New Roman"/>
                <w:b/>
                <w:bCs/>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Cas pratique</w:t>
            </w:r>
          </w:p>
        </w:tc>
        <w:tc>
          <w:tcPr>
            <w:tcW w:w="0" w:type="auto"/>
            <w:vAlign w:val="center"/>
            <w:hideMark/>
          </w:tcPr>
          <w:p w14:paraId="69E597C8" w14:textId="77777777" w:rsidR="008779B7" w:rsidRPr="008779B7" w:rsidRDefault="008779B7" w:rsidP="008779B7">
            <w:pPr>
              <w:spacing w:after="0" w:line="240" w:lineRule="auto"/>
              <w:jc w:val="center"/>
              <w:rPr>
                <w:rFonts w:ascii="Times New Roman" w:eastAsia="Times New Roman" w:hAnsi="Times New Roman" w:cs="Times New Roman"/>
                <w:b/>
                <w:bCs/>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Articles de loi</w:t>
            </w:r>
          </w:p>
        </w:tc>
        <w:tc>
          <w:tcPr>
            <w:tcW w:w="0" w:type="auto"/>
            <w:vAlign w:val="center"/>
            <w:hideMark/>
          </w:tcPr>
          <w:p w14:paraId="27FCD403" w14:textId="77777777" w:rsidR="008779B7" w:rsidRPr="008779B7" w:rsidRDefault="008779B7" w:rsidP="008779B7">
            <w:pPr>
              <w:spacing w:after="0" w:line="240" w:lineRule="auto"/>
              <w:jc w:val="center"/>
              <w:rPr>
                <w:rFonts w:ascii="Times New Roman" w:eastAsia="Times New Roman" w:hAnsi="Times New Roman" w:cs="Times New Roman"/>
                <w:b/>
                <w:bCs/>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Résumé</w:t>
            </w:r>
          </w:p>
        </w:tc>
      </w:tr>
      <w:tr w:rsidR="008779B7" w:rsidRPr="008779B7" w14:paraId="7A562D7C" w14:textId="77777777" w:rsidTr="008779B7">
        <w:trPr>
          <w:tblCellSpacing w:w="15" w:type="dxa"/>
        </w:trPr>
        <w:tc>
          <w:tcPr>
            <w:tcW w:w="0" w:type="auto"/>
            <w:vAlign w:val="center"/>
            <w:hideMark/>
          </w:tcPr>
          <w:p w14:paraId="1D712464" w14:textId="77777777" w:rsidR="008779B7" w:rsidRPr="008779B7" w:rsidRDefault="008779B7" w:rsidP="008779B7">
            <w:pPr>
              <w:spacing w:after="0"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kern w:val="0"/>
                <w:sz w:val="24"/>
                <w:szCs w:val="24"/>
                <w:lang w:eastAsia="fr-CH"/>
                <w14:ligatures w14:val="none"/>
              </w:rPr>
              <w:t>2.2 – Méthode non reconnue</w:t>
            </w:r>
          </w:p>
        </w:tc>
        <w:tc>
          <w:tcPr>
            <w:tcW w:w="0" w:type="auto"/>
            <w:vAlign w:val="center"/>
            <w:hideMark/>
          </w:tcPr>
          <w:p w14:paraId="188DDF4E" w14:textId="77777777" w:rsidR="008779B7" w:rsidRPr="008779B7" w:rsidRDefault="008779B7" w:rsidP="008779B7">
            <w:pPr>
              <w:spacing w:after="0"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kern w:val="0"/>
                <w:sz w:val="24"/>
                <w:szCs w:val="24"/>
                <w:lang w:eastAsia="fr-CH"/>
                <w14:ligatures w14:val="none"/>
              </w:rPr>
              <w:t>Code FMH (expérimentation thérapeutique), Code civil suisse (faute personnelle)</w:t>
            </w:r>
          </w:p>
        </w:tc>
        <w:tc>
          <w:tcPr>
            <w:tcW w:w="0" w:type="auto"/>
            <w:vAlign w:val="center"/>
            <w:hideMark/>
          </w:tcPr>
          <w:p w14:paraId="15BC780C" w14:textId="77777777" w:rsidR="008779B7" w:rsidRPr="008779B7" w:rsidRDefault="008779B7" w:rsidP="008779B7">
            <w:pPr>
              <w:spacing w:after="0"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kern w:val="0"/>
                <w:sz w:val="24"/>
                <w:szCs w:val="24"/>
                <w:lang w:eastAsia="fr-CH"/>
                <w14:ligatures w14:val="none"/>
              </w:rPr>
              <w:t>Usage d’une technique innovante sans information appropriée</w:t>
            </w:r>
          </w:p>
        </w:tc>
      </w:tr>
    </w:tbl>
    <w:p w14:paraId="571BF90A" w14:textId="77777777" w:rsidR="008779B7" w:rsidRPr="008779B7" w:rsidRDefault="008779B7" w:rsidP="008779B7">
      <w:pPr>
        <w:spacing w:before="100" w:beforeAutospacing="1" w:after="100" w:afterAutospacing="1" w:line="240" w:lineRule="auto"/>
        <w:outlineLvl w:val="2"/>
        <w:rPr>
          <w:rFonts w:ascii="Times New Roman" w:eastAsia="Times New Roman" w:hAnsi="Times New Roman" w:cs="Times New Roman"/>
          <w:b/>
          <w:bCs/>
          <w:kern w:val="0"/>
          <w:sz w:val="27"/>
          <w:szCs w:val="27"/>
          <w:lang w:eastAsia="fr-CH"/>
          <w14:ligatures w14:val="none"/>
        </w:rPr>
      </w:pPr>
      <w:r w:rsidRPr="008779B7">
        <w:rPr>
          <w:rFonts w:ascii="Times New Roman" w:eastAsia="Times New Roman" w:hAnsi="Times New Roman" w:cs="Times New Roman"/>
          <w:b/>
          <w:bCs/>
          <w:kern w:val="0"/>
          <w:sz w:val="27"/>
          <w:szCs w:val="27"/>
          <w:lang w:eastAsia="fr-CH"/>
          <w14:ligatures w14:val="none"/>
        </w:rPr>
        <w:t>Cas pratique 2.3 : Manquement au suivi personnalisé du dossier</w:t>
      </w:r>
    </w:p>
    <w:p w14:paraId="672DCC5F"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Mise en situation :</w:t>
      </w:r>
      <w:r w:rsidRPr="008779B7">
        <w:rPr>
          <w:rFonts w:ascii="Times New Roman" w:eastAsia="Times New Roman" w:hAnsi="Times New Roman" w:cs="Times New Roman"/>
          <w:kern w:val="0"/>
          <w:sz w:val="24"/>
          <w:szCs w:val="24"/>
          <w:lang w:eastAsia="fr-CH"/>
          <w14:ligatures w14:val="none"/>
        </w:rPr>
        <w:t xml:space="preserve"> Après une première consultation, le médecin ne coordonne pas correctement le suivi personnalisé du patient, oubliant de réaliser les examens complémentaires prévus lors du traitement d’une maladie chronique. Le patient voit son état s’aggraver et subit une complication évitable.</w:t>
      </w:r>
    </w:p>
    <w:p w14:paraId="63064D40"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Réponse argumentée :</w:t>
      </w:r>
      <w:r w:rsidRPr="008779B7">
        <w:rPr>
          <w:rFonts w:ascii="Times New Roman" w:eastAsia="Times New Roman" w:hAnsi="Times New Roman" w:cs="Times New Roman"/>
          <w:kern w:val="0"/>
          <w:sz w:val="24"/>
          <w:szCs w:val="24"/>
          <w:lang w:eastAsia="fr-CH"/>
          <w14:ligatures w14:val="none"/>
        </w:rPr>
        <w:t xml:space="preserve"> Le médecin est individuellement responsable du suivi de son patient. Le manquement aux examens complémentaires, qui figuraient dans le protocole de traitement, constitue une négligence personnelle.</w:t>
      </w:r>
    </w:p>
    <w:p w14:paraId="03CE69F1"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lastRenderedPageBreak/>
        <w:t>Articles de loi :</w:t>
      </w:r>
    </w:p>
    <w:p w14:paraId="20C3064A" w14:textId="77777777" w:rsidR="008779B7" w:rsidRPr="008779B7" w:rsidRDefault="008779B7" w:rsidP="008779B7">
      <w:pPr>
        <w:numPr>
          <w:ilvl w:val="0"/>
          <w:numId w:val="10"/>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Code FMH – articles concernant la continuité des soins</w:t>
      </w:r>
    </w:p>
    <w:p w14:paraId="74D50026" w14:textId="77777777" w:rsidR="008779B7" w:rsidRPr="008779B7" w:rsidRDefault="008779B7" w:rsidP="008779B7">
      <w:pPr>
        <w:numPr>
          <w:ilvl w:val="0"/>
          <w:numId w:val="10"/>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Dispositions du Code civil suisse</w:t>
      </w:r>
      <w:r w:rsidRPr="008779B7">
        <w:rPr>
          <w:rFonts w:ascii="Times New Roman" w:eastAsia="Times New Roman" w:hAnsi="Times New Roman" w:cs="Times New Roman"/>
          <w:kern w:val="0"/>
          <w:sz w:val="24"/>
          <w:szCs w:val="24"/>
          <w:lang w:eastAsia="fr-CH"/>
          <w14:ligatures w14:val="none"/>
        </w:rPr>
        <w:t xml:space="preserve"> sur l'obligation de moyen et la faute personnelle</w:t>
      </w:r>
    </w:p>
    <w:p w14:paraId="2A73A5A5"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Analyse approfondie :</w:t>
      </w:r>
      <w:r w:rsidRPr="008779B7">
        <w:rPr>
          <w:rFonts w:ascii="Times New Roman" w:eastAsia="Times New Roman" w:hAnsi="Times New Roman" w:cs="Times New Roman"/>
          <w:kern w:val="0"/>
          <w:sz w:val="24"/>
          <w:szCs w:val="24"/>
          <w:lang w:eastAsia="fr-CH"/>
          <w14:ligatures w14:val="none"/>
        </w:rPr>
        <w:t xml:space="preserve"> Le suivi régulier est un pilier de la relation de confiance. L’omission d’effectuer des examens programmés démontre un manquement au devoir d’assurer une prise en charge complète.</w:t>
      </w:r>
    </w:p>
    <w:p w14:paraId="31A67DE3"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Tableau récapitulatif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06"/>
        <w:gridCol w:w="3856"/>
        <w:gridCol w:w="3576"/>
      </w:tblGrid>
      <w:tr w:rsidR="008779B7" w:rsidRPr="008779B7" w14:paraId="03E5C809" w14:textId="77777777" w:rsidTr="008779B7">
        <w:trPr>
          <w:tblHeader/>
          <w:tblCellSpacing w:w="15" w:type="dxa"/>
        </w:trPr>
        <w:tc>
          <w:tcPr>
            <w:tcW w:w="0" w:type="auto"/>
            <w:vAlign w:val="center"/>
            <w:hideMark/>
          </w:tcPr>
          <w:p w14:paraId="5B384A3A" w14:textId="77777777" w:rsidR="008779B7" w:rsidRPr="008779B7" w:rsidRDefault="008779B7" w:rsidP="008779B7">
            <w:pPr>
              <w:spacing w:after="0" w:line="240" w:lineRule="auto"/>
              <w:jc w:val="center"/>
              <w:rPr>
                <w:rFonts w:ascii="Times New Roman" w:eastAsia="Times New Roman" w:hAnsi="Times New Roman" w:cs="Times New Roman"/>
                <w:b/>
                <w:bCs/>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Cas pratique</w:t>
            </w:r>
          </w:p>
        </w:tc>
        <w:tc>
          <w:tcPr>
            <w:tcW w:w="0" w:type="auto"/>
            <w:vAlign w:val="center"/>
            <w:hideMark/>
          </w:tcPr>
          <w:p w14:paraId="198467F7" w14:textId="77777777" w:rsidR="008779B7" w:rsidRPr="008779B7" w:rsidRDefault="008779B7" w:rsidP="008779B7">
            <w:pPr>
              <w:spacing w:after="0" w:line="240" w:lineRule="auto"/>
              <w:jc w:val="center"/>
              <w:rPr>
                <w:rFonts w:ascii="Times New Roman" w:eastAsia="Times New Roman" w:hAnsi="Times New Roman" w:cs="Times New Roman"/>
                <w:b/>
                <w:bCs/>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Articles de loi</w:t>
            </w:r>
          </w:p>
        </w:tc>
        <w:tc>
          <w:tcPr>
            <w:tcW w:w="0" w:type="auto"/>
            <w:vAlign w:val="center"/>
            <w:hideMark/>
          </w:tcPr>
          <w:p w14:paraId="079540DB" w14:textId="77777777" w:rsidR="008779B7" w:rsidRPr="008779B7" w:rsidRDefault="008779B7" w:rsidP="008779B7">
            <w:pPr>
              <w:spacing w:after="0" w:line="240" w:lineRule="auto"/>
              <w:jc w:val="center"/>
              <w:rPr>
                <w:rFonts w:ascii="Times New Roman" w:eastAsia="Times New Roman" w:hAnsi="Times New Roman" w:cs="Times New Roman"/>
                <w:b/>
                <w:bCs/>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Résumé</w:t>
            </w:r>
          </w:p>
        </w:tc>
      </w:tr>
      <w:tr w:rsidR="008779B7" w:rsidRPr="008779B7" w14:paraId="47F270CE" w14:textId="77777777" w:rsidTr="008779B7">
        <w:trPr>
          <w:tblCellSpacing w:w="15" w:type="dxa"/>
        </w:trPr>
        <w:tc>
          <w:tcPr>
            <w:tcW w:w="0" w:type="auto"/>
            <w:vAlign w:val="center"/>
            <w:hideMark/>
          </w:tcPr>
          <w:p w14:paraId="2137B6C5" w14:textId="77777777" w:rsidR="008779B7" w:rsidRPr="008779B7" w:rsidRDefault="008779B7" w:rsidP="008779B7">
            <w:pPr>
              <w:spacing w:after="0"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kern w:val="0"/>
                <w:sz w:val="24"/>
                <w:szCs w:val="24"/>
                <w:lang w:eastAsia="fr-CH"/>
                <w14:ligatures w14:val="none"/>
              </w:rPr>
              <w:t>2.3 – Défaut de suivi personnalisé</w:t>
            </w:r>
          </w:p>
        </w:tc>
        <w:tc>
          <w:tcPr>
            <w:tcW w:w="0" w:type="auto"/>
            <w:vAlign w:val="center"/>
            <w:hideMark/>
          </w:tcPr>
          <w:p w14:paraId="716B7190" w14:textId="77777777" w:rsidR="008779B7" w:rsidRPr="008779B7" w:rsidRDefault="008779B7" w:rsidP="008779B7">
            <w:pPr>
              <w:spacing w:after="0"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kern w:val="0"/>
                <w:sz w:val="24"/>
                <w:szCs w:val="24"/>
                <w:lang w:eastAsia="fr-CH"/>
                <w14:ligatures w14:val="none"/>
              </w:rPr>
              <w:t>Code FMH (continuité des soins), Code civil suisse (obligation de moyen)</w:t>
            </w:r>
          </w:p>
        </w:tc>
        <w:tc>
          <w:tcPr>
            <w:tcW w:w="0" w:type="auto"/>
            <w:vAlign w:val="center"/>
            <w:hideMark/>
          </w:tcPr>
          <w:p w14:paraId="41F0A4E3" w14:textId="77777777" w:rsidR="008779B7" w:rsidRPr="008779B7" w:rsidRDefault="008779B7" w:rsidP="008779B7">
            <w:pPr>
              <w:spacing w:after="0"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kern w:val="0"/>
                <w:sz w:val="24"/>
                <w:szCs w:val="24"/>
                <w:lang w:eastAsia="fr-CH"/>
                <w14:ligatures w14:val="none"/>
              </w:rPr>
              <w:t>Oubli des examens complémentaires dans la prise en charge</w:t>
            </w:r>
          </w:p>
        </w:tc>
      </w:tr>
    </w:tbl>
    <w:p w14:paraId="3ADE6E98" w14:textId="77777777" w:rsidR="008779B7" w:rsidRPr="008779B7" w:rsidRDefault="008779B7" w:rsidP="008779B7">
      <w:pPr>
        <w:spacing w:before="100" w:beforeAutospacing="1" w:after="100" w:afterAutospacing="1" w:line="240" w:lineRule="auto"/>
        <w:outlineLvl w:val="2"/>
        <w:rPr>
          <w:rFonts w:ascii="Times New Roman" w:eastAsia="Times New Roman" w:hAnsi="Times New Roman" w:cs="Times New Roman"/>
          <w:b/>
          <w:bCs/>
          <w:kern w:val="0"/>
          <w:sz w:val="27"/>
          <w:szCs w:val="27"/>
          <w:lang w:eastAsia="fr-CH"/>
          <w14:ligatures w14:val="none"/>
        </w:rPr>
      </w:pPr>
      <w:r w:rsidRPr="008779B7">
        <w:rPr>
          <w:rFonts w:ascii="Times New Roman" w:eastAsia="Times New Roman" w:hAnsi="Times New Roman" w:cs="Times New Roman"/>
          <w:b/>
          <w:bCs/>
          <w:kern w:val="0"/>
          <w:sz w:val="27"/>
          <w:szCs w:val="27"/>
          <w:lang w:eastAsia="fr-CH"/>
          <w14:ligatures w14:val="none"/>
        </w:rPr>
        <w:t>Cas pratique 2.4 : Usage inapproprié d’un dispositif sans formation adéquate</w:t>
      </w:r>
    </w:p>
    <w:p w14:paraId="02459C4F"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Mise en situation :</w:t>
      </w:r>
      <w:r w:rsidRPr="008779B7">
        <w:rPr>
          <w:rFonts w:ascii="Times New Roman" w:eastAsia="Times New Roman" w:hAnsi="Times New Roman" w:cs="Times New Roman"/>
          <w:kern w:val="0"/>
          <w:sz w:val="24"/>
          <w:szCs w:val="24"/>
          <w:lang w:eastAsia="fr-CH"/>
          <w14:ligatures w14:val="none"/>
        </w:rPr>
        <w:t xml:space="preserve"> Lors d’une intervention, un médecin utilise un nouveau dispositif médical sans avoir suivi la formation spécifique requise. Une utilisation erronée engendre un dysfonctionnement de l’appareil et un dommage au patient.</w:t>
      </w:r>
    </w:p>
    <w:p w14:paraId="438A2311"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Réponse argumentée :</w:t>
      </w:r>
      <w:r w:rsidRPr="008779B7">
        <w:rPr>
          <w:rFonts w:ascii="Times New Roman" w:eastAsia="Times New Roman" w:hAnsi="Times New Roman" w:cs="Times New Roman"/>
          <w:kern w:val="0"/>
          <w:sz w:val="24"/>
          <w:szCs w:val="24"/>
          <w:lang w:eastAsia="fr-CH"/>
          <w14:ligatures w14:val="none"/>
        </w:rPr>
        <w:t xml:space="preserve"> Le médecin engage sa responsabilité individuelle en n’ayant pas suivi la formation adéquate pour l’utilisation du dispositif. Ce manquement démontre un défaut de précaution personnelle.</w:t>
      </w:r>
    </w:p>
    <w:p w14:paraId="25702F00"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Articles de loi :</w:t>
      </w:r>
    </w:p>
    <w:p w14:paraId="5BC7EC17" w14:textId="77777777" w:rsidR="008779B7" w:rsidRPr="008779B7" w:rsidRDefault="008779B7" w:rsidP="008779B7">
      <w:pPr>
        <w:numPr>
          <w:ilvl w:val="0"/>
          <w:numId w:val="11"/>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Code FMH – articles sur l’obligation de formation continue</w:t>
      </w:r>
    </w:p>
    <w:p w14:paraId="1FB90713" w14:textId="77777777" w:rsidR="008779B7" w:rsidRPr="008779B7" w:rsidRDefault="008779B7" w:rsidP="008779B7">
      <w:pPr>
        <w:numPr>
          <w:ilvl w:val="0"/>
          <w:numId w:val="11"/>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Code civil suisse</w:t>
      </w:r>
      <w:r w:rsidRPr="008779B7">
        <w:rPr>
          <w:rFonts w:ascii="Times New Roman" w:eastAsia="Times New Roman" w:hAnsi="Times New Roman" w:cs="Times New Roman"/>
          <w:kern w:val="0"/>
          <w:sz w:val="24"/>
          <w:szCs w:val="24"/>
          <w:lang w:eastAsia="fr-CH"/>
          <w14:ligatures w14:val="none"/>
        </w:rPr>
        <w:t xml:space="preserve"> concernant la faute personnelle et la négligence</w:t>
      </w:r>
    </w:p>
    <w:p w14:paraId="185119C7"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Analyse approfondie :</w:t>
      </w:r>
      <w:r w:rsidRPr="008779B7">
        <w:rPr>
          <w:rFonts w:ascii="Times New Roman" w:eastAsia="Times New Roman" w:hAnsi="Times New Roman" w:cs="Times New Roman"/>
          <w:kern w:val="0"/>
          <w:sz w:val="24"/>
          <w:szCs w:val="24"/>
          <w:lang w:eastAsia="fr-CH"/>
          <w14:ligatures w14:val="none"/>
        </w:rPr>
        <w:t xml:space="preserve"> La formation aux nouveaux dispositifs est indispensable pour garantir la sécurité des soins. Le non-respect de cette obligation de formation prouve une imprudence directement causale au dommage.</w:t>
      </w:r>
    </w:p>
    <w:p w14:paraId="7A56B1C5"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Tableau récapitulatif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16"/>
        <w:gridCol w:w="3476"/>
        <w:gridCol w:w="3646"/>
      </w:tblGrid>
      <w:tr w:rsidR="008779B7" w:rsidRPr="008779B7" w14:paraId="6D997C92" w14:textId="77777777" w:rsidTr="008779B7">
        <w:trPr>
          <w:tblHeader/>
          <w:tblCellSpacing w:w="15" w:type="dxa"/>
        </w:trPr>
        <w:tc>
          <w:tcPr>
            <w:tcW w:w="0" w:type="auto"/>
            <w:vAlign w:val="center"/>
            <w:hideMark/>
          </w:tcPr>
          <w:p w14:paraId="6AEEC188" w14:textId="77777777" w:rsidR="008779B7" w:rsidRPr="008779B7" w:rsidRDefault="008779B7" w:rsidP="008779B7">
            <w:pPr>
              <w:spacing w:after="0" w:line="240" w:lineRule="auto"/>
              <w:jc w:val="center"/>
              <w:rPr>
                <w:rFonts w:ascii="Times New Roman" w:eastAsia="Times New Roman" w:hAnsi="Times New Roman" w:cs="Times New Roman"/>
                <w:b/>
                <w:bCs/>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Cas pratique</w:t>
            </w:r>
          </w:p>
        </w:tc>
        <w:tc>
          <w:tcPr>
            <w:tcW w:w="0" w:type="auto"/>
            <w:vAlign w:val="center"/>
            <w:hideMark/>
          </w:tcPr>
          <w:p w14:paraId="64837F0E" w14:textId="77777777" w:rsidR="008779B7" w:rsidRPr="008779B7" w:rsidRDefault="008779B7" w:rsidP="008779B7">
            <w:pPr>
              <w:spacing w:after="0" w:line="240" w:lineRule="auto"/>
              <w:jc w:val="center"/>
              <w:rPr>
                <w:rFonts w:ascii="Times New Roman" w:eastAsia="Times New Roman" w:hAnsi="Times New Roman" w:cs="Times New Roman"/>
                <w:b/>
                <w:bCs/>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Articles de loi</w:t>
            </w:r>
          </w:p>
        </w:tc>
        <w:tc>
          <w:tcPr>
            <w:tcW w:w="0" w:type="auto"/>
            <w:vAlign w:val="center"/>
            <w:hideMark/>
          </w:tcPr>
          <w:p w14:paraId="23AE37A5" w14:textId="77777777" w:rsidR="008779B7" w:rsidRPr="008779B7" w:rsidRDefault="008779B7" w:rsidP="008779B7">
            <w:pPr>
              <w:spacing w:after="0" w:line="240" w:lineRule="auto"/>
              <w:jc w:val="center"/>
              <w:rPr>
                <w:rFonts w:ascii="Times New Roman" w:eastAsia="Times New Roman" w:hAnsi="Times New Roman" w:cs="Times New Roman"/>
                <w:b/>
                <w:bCs/>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Résumé</w:t>
            </w:r>
          </w:p>
        </w:tc>
      </w:tr>
      <w:tr w:rsidR="008779B7" w:rsidRPr="008779B7" w14:paraId="03BE5335" w14:textId="77777777" w:rsidTr="008779B7">
        <w:trPr>
          <w:tblCellSpacing w:w="15" w:type="dxa"/>
        </w:trPr>
        <w:tc>
          <w:tcPr>
            <w:tcW w:w="0" w:type="auto"/>
            <w:vAlign w:val="center"/>
            <w:hideMark/>
          </w:tcPr>
          <w:p w14:paraId="344CDFC1" w14:textId="77777777" w:rsidR="008779B7" w:rsidRPr="008779B7" w:rsidRDefault="008779B7" w:rsidP="008779B7">
            <w:pPr>
              <w:spacing w:after="0"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kern w:val="0"/>
                <w:sz w:val="24"/>
                <w:szCs w:val="24"/>
                <w:lang w:eastAsia="fr-CH"/>
                <w14:ligatures w14:val="none"/>
              </w:rPr>
              <w:t>2.4 – Utilisation inappropriée d’un dispositif</w:t>
            </w:r>
          </w:p>
        </w:tc>
        <w:tc>
          <w:tcPr>
            <w:tcW w:w="0" w:type="auto"/>
            <w:vAlign w:val="center"/>
            <w:hideMark/>
          </w:tcPr>
          <w:p w14:paraId="0430CC8E" w14:textId="77777777" w:rsidR="008779B7" w:rsidRPr="008779B7" w:rsidRDefault="008779B7" w:rsidP="008779B7">
            <w:pPr>
              <w:spacing w:after="0"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kern w:val="0"/>
                <w:sz w:val="24"/>
                <w:szCs w:val="24"/>
                <w:lang w:eastAsia="fr-CH"/>
                <w14:ligatures w14:val="none"/>
              </w:rPr>
              <w:t>Code FMH (formation continue), Code civil suisse (faute personnelle)</w:t>
            </w:r>
          </w:p>
        </w:tc>
        <w:tc>
          <w:tcPr>
            <w:tcW w:w="0" w:type="auto"/>
            <w:vAlign w:val="center"/>
            <w:hideMark/>
          </w:tcPr>
          <w:p w14:paraId="5F24041A" w14:textId="77777777" w:rsidR="008779B7" w:rsidRPr="008779B7" w:rsidRDefault="008779B7" w:rsidP="008779B7">
            <w:pPr>
              <w:spacing w:after="0"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kern w:val="0"/>
                <w:sz w:val="24"/>
                <w:szCs w:val="24"/>
                <w:lang w:eastAsia="fr-CH"/>
                <w14:ligatures w14:val="none"/>
              </w:rPr>
              <w:t>Manque de formation entraînant une erreur dans l’utilisation d’un dispositif</w:t>
            </w:r>
          </w:p>
        </w:tc>
      </w:tr>
    </w:tbl>
    <w:p w14:paraId="378AD219" w14:textId="77777777" w:rsidR="008779B7" w:rsidRPr="008779B7" w:rsidRDefault="008779B7" w:rsidP="008779B7">
      <w:pPr>
        <w:spacing w:before="100" w:beforeAutospacing="1" w:after="100" w:afterAutospacing="1" w:line="240" w:lineRule="auto"/>
        <w:outlineLvl w:val="2"/>
        <w:rPr>
          <w:rFonts w:ascii="Times New Roman" w:eastAsia="Times New Roman" w:hAnsi="Times New Roman" w:cs="Times New Roman"/>
          <w:b/>
          <w:bCs/>
          <w:kern w:val="0"/>
          <w:sz w:val="27"/>
          <w:szCs w:val="27"/>
          <w:lang w:eastAsia="fr-CH"/>
          <w14:ligatures w14:val="none"/>
        </w:rPr>
      </w:pPr>
      <w:r w:rsidRPr="008779B7">
        <w:rPr>
          <w:rFonts w:ascii="Times New Roman" w:eastAsia="Times New Roman" w:hAnsi="Times New Roman" w:cs="Times New Roman"/>
          <w:b/>
          <w:bCs/>
          <w:kern w:val="0"/>
          <w:sz w:val="27"/>
          <w:szCs w:val="27"/>
          <w:lang w:eastAsia="fr-CH"/>
          <w14:ligatures w14:val="none"/>
        </w:rPr>
        <w:t>Cas pratique 2.5 : Fausse représentation de compétence</w:t>
      </w:r>
    </w:p>
    <w:p w14:paraId="63AAEB9C"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Mise en situation :</w:t>
      </w:r>
      <w:r w:rsidRPr="008779B7">
        <w:rPr>
          <w:rFonts w:ascii="Times New Roman" w:eastAsia="Times New Roman" w:hAnsi="Times New Roman" w:cs="Times New Roman"/>
          <w:kern w:val="0"/>
          <w:sz w:val="24"/>
          <w:szCs w:val="24"/>
          <w:lang w:eastAsia="fr-CH"/>
          <w14:ligatures w14:val="none"/>
        </w:rPr>
        <w:t xml:space="preserve"> Un médecin exerce dans un domaine pour lequel il n’est pas qualifié. En incitant un patient à suivre un traitement complexe, il ne possède pas l’expertise nécessaire. Le patient est confronté à des complications importantes qui n’auraient pas eu lieu avec une prise en charge par un spécialiste compétent.</w:t>
      </w:r>
    </w:p>
    <w:p w14:paraId="2F1DBA68"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lastRenderedPageBreak/>
        <w:t>Réponse argumentée :</w:t>
      </w:r>
      <w:r w:rsidRPr="008779B7">
        <w:rPr>
          <w:rFonts w:ascii="Times New Roman" w:eastAsia="Times New Roman" w:hAnsi="Times New Roman" w:cs="Times New Roman"/>
          <w:kern w:val="0"/>
          <w:sz w:val="24"/>
          <w:szCs w:val="24"/>
          <w:lang w:eastAsia="fr-CH"/>
          <w14:ligatures w14:val="none"/>
        </w:rPr>
        <w:t xml:space="preserve"> La fausse représentation des compétences constitue une tromperie sur la qualité des soins fournis. La responsabilité individuelle du médecin est ainsi engagée par son exercice hors de ses spécialités déclarées.</w:t>
      </w:r>
    </w:p>
    <w:p w14:paraId="2284EF7D"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Articles de loi :</w:t>
      </w:r>
    </w:p>
    <w:p w14:paraId="60E461BB" w14:textId="77777777" w:rsidR="008779B7" w:rsidRPr="008779B7" w:rsidRDefault="008779B7" w:rsidP="008779B7">
      <w:pPr>
        <w:numPr>
          <w:ilvl w:val="0"/>
          <w:numId w:val="12"/>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Code de déontologie FMH – articles sur la limitation des compétences</w:t>
      </w:r>
    </w:p>
    <w:p w14:paraId="34861C2D" w14:textId="77777777" w:rsidR="008779B7" w:rsidRPr="008779B7" w:rsidRDefault="008779B7" w:rsidP="008779B7">
      <w:pPr>
        <w:numPr>
          <w:ilvl w:val="0"/>
          <w:numId w:val="12"/>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Code civil suisse</w:t>
      </w:r>
      <w:r w:rsidRPr="008779B7">
        <w:rPr>
          <w:rFonts w:ascii="Times New Roman" w:eastAsia="Times New Roman" w:hAnsi="Times New Roman" w:cs="Times New Roman"/>
          <w:kern w:val="0"/>
          <w:sz w:val="24"/>
          <w:szCs w:val="24"/>
          <w:lang w:eastAsia="fr-CH"/>
          <w14:ligatures w14:val="none"/>
        </w:rPr>
        <w:t xml:space="preserve"> relatif à la mauvaise foi et à la faute personnelle</w:t>
      </w:r>
    </w:p>
    <w:p w14:paraId="17F3AAA4"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Analyse approfondie :</w:t>
      </w:r>
      <w:r w:rsidRPr="008779B7">
        <w:rPr>
          <w:rFonts w:ascii="Times New Roman" w:eastAsia="Times New Roman" w:hAnsi="Times New Roman" w:cs="Times New Roman"/>
          <w:kern w:val="0"/>
          <w:sz w:val="24"/>
          <w:szCs w:val="24"/>
          <w:lang w:eastAsia="fr-CH"/>
          <w14:ligatures w14:val="none"/>
        </w:rPr>
        <w:t xml:space="preserve"> En exerçant en dehors de son champ de compétence, le médecin induit en erreur le patient quant à son expertise et compromet la sécurité des soins. La violation du devoir de transparence et de compétence justifie une indemnisation pour le préjudice subi.</w:t>
      </w:r>
    </w:p>
    <w:p w14:paraId="79E60335"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Tableau récapitulatif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82"/>
        <w:gridCol w:w="4300"/>
        <w:gridCol w:w="2856"/>
      </w:tblGrid>
      <w:tr w:rsidR="008779B7" w:rsidRPr="008779B7" w14:paraId="2684B659" w14:textId="77777777" w:rsidTr="008779B7">
        <w:trPr>
          <w:tblHeader/>
          <w:tblCellSpacing w:w="15" w:type="dxa"/>
        </w:trPr>
        <w:tc>
          <w:tcPr>
            <w:tcW w:w="0" w:type="auto"/>
            <w:vAlign w:val="center"/>
            <w:hideMark/>
          </w:tcPr>
          <w:p w14:paraId="0815F9D9" w14:textId="77777777" w:rsidR="008779B7" w:rsidRPr="008779B7" w:rsidRDefault="008779B7" w:rsidP="008779B7">
            <w:pPr>
              <w:spacing w:after="0" w:line="240" w:lineRule="auto"/>
              <w:jc w:val="center"/>
              <w:rPr>
                <w:rFonts w:ascii="Times New Roman" w:eastAsia="Times New Roman" w:hAnsi="Times New Roman" w:cs="Times New Roman"/>
                <w:b/>
                <w:bCs/>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Cas pratique</w:t>
            </w:r>
          </w:p>
        </w:tc>
        <w:tc>
          <w:tcPr>
            <w:tcW w:w="0" w:type="auto"/>
            <w:vAlign w:val="center"/>
            <w:hideMark/>
          </w:tcPr>
          <w:p w14:paraId="4E1EBB65" w14:textId="77777777" w:rsidR="008779B7" w:rsidRPr="008779B7" w:rsidRDefault="008779B7" w:rsidP="008779B7">
            <w:pPr>
              <w:spacing w:after="0" w:line="240" w:lineRule="auto"/>
              <w:jc w:val="center"/>
              <w:rPr>
                <w:rFonts w:ascii="Times New Roman" w:eastAsia="Times New Roman" w:hAnsi="Times New Roman" w:cs="Times New Roman"/>
                <w:b/>
                <w:bCs/>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Articles de loi</w:t>
            </w:r>
          </w:p>
        </w:tc>
        <w:tc>
          <w:tcPr>
            <w:tcW w:w="0" w:type="auto"/>
            <w:vAlign w:val="center"/>
            <w:hideMark/>
          </w:tcPr>
          <w:p w14:paraId="0C07E910" w14:textId="77777777" w:rsidR="008779B7" w:rsidRPr="008779B7" w:rsidRDefault="008779B7" w:rsidP="008779B7">
            <w:pPr>
              <w:spacing w:after="0" w:line="240" w:lineRule="auto"/>
              <w:jc w:val="center"/>
              <w:rPr>
                <w:rFonts w:ascii="Times New Roman" w:eastAsia="Times New Roman" w:hAnsi="Times New Roman" w:cs="Times New Roman"/>
                <w:b/>
                <w:bCs/>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Résumé</w:t>
            </w:r>
          </w:p>
        </w:tc>
      </w:tr>
      <w:tr w:rsidR="008779B7" w:rsidRPr="008779B7" w14:paraId="1AEA4200" w14:textId="77777777" w:rsidTr="008779B7">
        <w:trPr>
          <w:tblCellSpacing w:w="15" w:type="dxa"/>
        </w:trPr>
        <w:tc>
          <w:tcPr>
            <w:tcW w:w="0" w:type="auto"/>
            <w:vAlign w:val="center"/>
            <w:hideMark/>
          </w:tcPr>
          <w:p w14:paraId="4C543C43" w14:textId="77777777" w:rsidR="008779B7" w:rsidRPr="008779B7" w:rsidRDefault="008779B7" w:rsidP="008779B7">
            <w:pPr>
              <w:spacing w:after="0"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kern w:val="0"/>
                <w:sz w:val="24"/>
                <w:szCs w:val="24"/>
                <w:lang w:eastAsia="fr-CH"/>
                <w14:ligatures w14:val="none"/>
              </w:rPr>
              <w:t>2.5 – Fausse représentation de compétence</w:t>
            </w:r>
          </w:p>
        </w:tc>
        <w:tc>
          <w:tcPr>
            <w:tcW w:w="0" w:type="auto"/>
            <w:vAlign w:val="center"/>
            <w:hideMark/>
          </w:tcPr>
          <w:p w14:paraId="5698BE90" w14:textId="77777777" w:rsidR="008779B7" w:rsidRPr="008779B7" w:rsidRDefault="008779B7" w:rsidP="008779B7">
            <w:pPr>
              <w:spacing w:after="0"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kern w:val="0"/>
                <w:sz w:val="24"/>
                <w:szCs w:val="24"/>
                <w:lang w:eastAsia="fr-CH"/>
                <w14:ligatures w14:val="none"/>
              </w:rPr>
              <w:t>Code FMH (limitation des compétences), Code civil suisse (mauvaise foi, faute personnelle)</w:t>
            </w:r>
          </w:p>
        </w:tc>
        <w:tc>
          <w:tcPr>
            <w:tcW w:w="0" w:type="auto"/>
            <w:vAlign w:val="center"/>
            <w:hideMark/>
          </w:tcPr>
          <w:p w14:paraId="3CD38D8D" w14:textId="77777777" w:rsidR="008779B7" w:rsidRPr="008779B7" w:rsidRDefault="008779B7" w:rsidP="008779B7">
            <w:pPr>
              <w:spacing w:after="0"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kern w:val="0"/>
                <w:sz w:val="24"/>
                <w:szCs w:val="24"/>
                <w:lang w:eastAsia="fr-CH"/>
                <w14:ligatures w14:val="none"/>
              </w:rPr>
              <w:t>Exercice hors spécialité justifiant le préjudice pour le patient</w:t>
            </w:r>
          </w:p>
        </w:tc>
      </w:tr>
    </w:tbl>
    <w:p w14:paraId="27F2C36E" w14:textId="77777777" w:rsidR="008779B7" w:rsidRPr="008779B7" w:rsidRDefault="008779B7" w:rsidP="008779B7">
      <w:pPr>
        <w:spacing w:before="100" w:beforeAutospacing="1" w:after="100" w:afterAutospacing="1" w:line="240" w:lineRule="auto"/>
        <w:outlineLvl w:val="1"/>
        <w:rPr>
          <w:rFonts w:ascii="Times New Roman" w:eastAsia="Times New Roman" w:hAnsi="Times New Roman" w:cs="Times New Roman"/>
          <w:b/>
          <w:bCs/>
          <w:kern w:val="0"/>
          <w:sz w:val="36"/>
          <w:szCs w:val="36"/>
          <w:lang w:eastAsia="fr-CH"/>
          <w14:ligatures w14:val="none"/>
        </w:rPr>
      </w:pPr>
      <w:r w:rsidRPr="008779B7">
        <w:rPr>
          <w:rFonts w:ascii="Times New Roman" w:eastAsia="Times New Roman" w:hAnsi="Times New Roman" w:cs="Times New Roman"/>
          <w:b/>
          <w:bCs/>
          <w:kern w:val="0"/>
          <w:sz w:val="36"/>
          <w:szCs w:val="36"/>
          <w:lang w:eastAsia="fr-CH"/>
          <w14:ligatures w14:val="none"/>
        </w:rPr>
        <w:t>III – La responsabilité contractuelle</w:t>
      </w:r>
    </w:p>
    <w:p w14:paraId="27402D1A" w14:textId="77777777" w:rsidR="008779B7" w:rsidRPr="008779B7" w:rsidRDefault="008779B7" w:rsidP="008779B7">
      <w:pPr>
        <w:spacing w:before="100" w:beforeAutospacing="1" w:after="100" w:afterAutospacing="1" w:line="240" w:lineRule="auto"/>
        <w:outlineLvl w:val="2"/>
        <w:rPr>
          <w:rFonts w:ascii="Times New Roman" w:eastAsia="Times New Roman" w:hAnsi="Times New Roman" w:cs="Times New Roman"/>
          <w:b/>
          <w:bCs/>
          <w:kern w:val="0"/>
          <w:sz w:val="27"/>
          <w:szCs w:val="27"/>
          <w:lang w:eastAsia="fr-CH"/>
          <w14:ligatures w14:val="none"/>
        </w:rPr>
      </w:pPr>
      <w:r w:rsidRPr="008779B7">
        <w:rPr>
          <w:rFonts w:ascii="Times New Roman" w:eastAsia="Times New Roman" w:hAnsi="Times New Roman" w:cs="Times New Roman"/>
          <w:b/>
          <w:bCs/>
          <w:kern w:val="0"/>
          <w:sz w:val="27"/>
          <w:szCs w:val="27"/>
          <w:lang w:eastAsia="fr-CH"/>
          <w14:ligatures w14:val="none"/>
        </w:rPr>
        <w:t>Cas pratique 3.1 : Défaut d’information dans le cadre d’un contrat de soins</w:t>
      </w:r>
    </w:p>
    <w:p w14:paraId="640F05A0"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Mise en situation :</w:t>
      </w:r>
      <w:r w:rsidRPr="008779B7">
        <w:rPr>
          <w:rFonts w:ascii="Times New Roman" w:eastAsia="Times New Roman" w:hAnsi="Times New Roman" w:cs="Times New Roman"/>
          <w:kern w:val="0"/>
          <w:sz w:val="24"/>
          <w:szCs w:val="24"/>
          <w:lang w:eastAsia="fr-CH"/>
          <w14:ligatures w14:val="none"/>
        </w:rPr>
        <w:t xml:space="preserve"> Un patient signe un contrat implicite avec un établissement privé pour une intervention chirurgicale. Il n’est pas suffisamment informé des risques spécifiques liés à l’opération. Après l’intervention, des complications surviennent que le patient estime avoir été mal informé.</w:t>
      </w:r>
    </w:p>
    <w:p w14:paraId="2F57BA65"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Réponse argumentée :</w:t>
      </w:r>
      <w:r w:rsidRPr="008779B7">
        <w:rPr>
          <w:rFonts w:ascii="Times New Roman" w:eastAsia="Times New Roman" w:hAnsi="Times New Roman" w:cs="Times New Roman"/>
          <w:kern w:val="0"/>
          <w:sz w:val="24"/>
          <w:szCs w:val="24"/>
          <w:lang w:eastAsia="fr-CH"/>
          <w14:ligatures w14:val="none"/>
        </w:rPr>
        <w:t xml:space="preserve"> Le non-respect du devoir d’information contractuel engage la responsabilité contractuelle du médecin et de l’établissement, rendant le consentement du patient invalide.</w:t>
      </w:r>
    </w:p>
    <w:p w14:paraId="5396846A"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Articles de loi :</w:t>
      </w:r>
    </w:p>
    <w:p w14:paraId="5062BA89" w14:textId="77777777" w:rsidR="008779B7" w:rsidRPr="008779B7" w:rsidRDefault="008779B7" w:rsidP="008779B7">
      <w:pPr>
        <w:numPr>
          <w:ilvl w:val="0"/>
          <w:numId w:val="13"/>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Articles du Code civil suisse sur le contrat</w:t>
      </w:r>
      <w:r w:rsidRPr="008779B7">
        <w:rPr>
          <w:rFonts w:ascii="Times New Roman" w:eastAsia="Times New Roman" w:hAnsi="Times New Roman" w:cs="Times New Roman"/>
          <w:kern w:val="0"/>
          <w:sz w:val="24"/>
          <w:szCs w:val="24"/>
          <w:lang w:eastAsia="fr-CH"/>
          <w14:ligatures w14:val="none"/>
        </w:rPr>
        <w:t xml:space="preserve"> (obligation d’information précontractuelle)</w:t>
      </w:r>
    </w:p>
    <w:p w14:paraId="769B066A" w14:textId="77777777" w:rsidR="008779B7" w:rsidRPr="008779B7" w:rsidRDefault="008779B7" w:rsidP="008779B7">
      <w:pPr>
        <w:numPr>
          <w:ilvl w:val="0"/>
          <w:numId w:val="13"/>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Code de déontologie FMH</w:t>
      </w:r>
      <w:r w:rsidRPr="008779B7">
        <w:rPr>
          <w:rFonts w:ascii="Times New Roman" w:eastAsia="Times New Roman" w:hAnsi="Times New Roman" w:cs="Times New Roman"/>
          <w:kern w:val="0"/>
          <w:sz w:val="24"/>
          <w:szCs w:val="24"/>
          <w:lang w:eastAsia="fr-CH"/>
          <w14:ligatures w14:val="none"/>
        </w:rPr>
        <w:t xml:space="preserve"> relatif au consentement éclairé</w:t>
      </w:r>
    </w:p>
    <w:p w14:paraId="3451F8E2"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Analyse approfondie :</w:t>
      </w:r>
      <w:r w:rsidRPr="008779B7">
        <w:rPr>
          <w:rFonts w:ascii="Times New Roman" w:eastAsia="Times New Roman" w:hAnsi="Times New Roman" w:cs="Times New Roman"/>
          <w:kern w:val="0"/>
          <w:sz w:val="24"/>
          <w:szCs w:val="24"/>
          <w:lang w:eastAsia="fr-CH"/>
          <w14:ligatures w14:val="none"/>
        </w:rPr>
        <w:t xml:space="preserve"> Le contrat de soins comporte une dimension d’information préalable. La carence dans l’explication des risques remet en cause la validité du consentement et ouvre le champ à une demande de réparation contractuelle.</w:t>
      </w:r>
    </w:p>
    <w:p w14:paraId="47C5D0FD"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Tableau récapitulatif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10"/>
        <w:gridCol w:w="3851"/>
        <w:gridCol w:w="3277"/>
      </w:tblGrid>
      <w:tr w:rsidR="008779B7" w:rsidRPr="008779B7" w14:paraId="3AE8D09E" w14:textId="77777777" w:rsidTr="008779B7">
        <w:trPr>
          <w:tblHeader/>
          <w:tblCellSpacing w:w="15" w:type="dxa"/>
        </w:trPr>
        <w:tc>
          <w:tcPr>
            <w:tcW w:w="0" w:type="auto"/>
            <w:vAlign w:val="center"/>
            <w:hideMark/>
          </w:tcPr>
          <w:p w14:paraId="0AEF606A" w14:textId="77777777" w:rsidR="008779B7" w:rsidRPr="008779B7" w:rsidRDefault="008779B7" w:rsidP="008779B7">
            <w:pPr>
              <w:spacing w:after="0" w:line="240" w:lineRule="auto"/>
              <w:jc w:val="center"/>
              <w:rPr>
                <w:rFonts w:ascii="Times New Roman" w:eastAsia="Times New Roman" w:hAnsi="Times New Roman" w:cs="Times New Roman"/>
                <w:b/>
                <w:bCs/>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Cas pratique</w:t>
            </w:r>
          </w:p>
        </w:tc>
        <w:tc>
          <w:tcPr>
            <w:tcW w:w="0" w:type="auto"/>
            <w:vAlign w:val="center"/>
            <w:hideMark/>
          </w:tcPr>
          <w:p w14:paraId="1C528891" w14:textId="77777777" w:rsidR="008779B7" w:rsidRPr="008779B7" w:rsidRDefault="008779B7" w:rsidP="008779B7">
            <w:pPr>
              <w:spacing w:after="0" w:line="240" w:lineRule="auto"/>
              <w:jc w:val="center"/>
              <w:rPr>
                <w:rFonts w:ascii="Times New Roman" w:eastAsia="Times New Roman" w:hAnsi="Times New Roman" w:cs="Times New Roman"/>
                <w:b/>
                <w:bCs/>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Articles de loi</w:t>
            </w:r>
          </w:p>
        </w:tc>
        <w:tc>
          <w:tcPr>
            <w:tcW w:w="0" w:type="auto"/>
            <w:vAlign w:val="center"/>
            <w:hideMark/>
          </w:tcPr>
          <w:p w14:paraId="254DF626" w14:textId="77777777" w:rsidR="008779B7" w:rsidRPr="008779B7" w:rsidRDefault="008779B7" w:rsidP="008779B7">
            <w:pPr>
              <w:spacing w:after="0" w:line="240" w:lineRule="auto"/>
              <w:jc w:val="center"/>
              <w:rPr>
                <w:rFonts w:ascii="Times New Roman" w:eastAsia="Times New Roman" w:hAnsi="Times New Roman" w:cs="Times New Roman"/>
                <w:b/>
                <w:bCs/>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Résumé</w:t>
            </w:r>
          </w:p>
        </w:tc>
      </w:tr>
      <w:tr w:rsidR="008779B7" w:rsidRPr="008779B7" w14:paraId="47C37429" w14:textId="77777777" w:rsidTr="008779B7">
        <w:trPr>
          <w:tblCellSpacing w:w="15" w:type="dxa"/>
        </w:trPr>
        <w:tc>
          <w:tcPr>
            <w:tcW w:w="0" w:type="auto"/>
            <w:vAlign w:val="center"/>
            <w:hideMark/>
          </w:tcPr>
          <w:p w14:paraId="10981BD0" w14:textId="77777777" w:rsidR="008779B7" w:rsidRPr="008779B7" w:rsidRDefault="008779B7" w:rsidP="008779B7">
            <w:pPr>
              <w:spacing w:after="0"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kern w:val="0"/>
                <w:sz w:val="24"/>
                <w:szCs w:val="24"/>
                <w:lang w:eastAsia="fr-CH"/>
                <w14:ligatures w14:val="none"/>
              </w:rPr>
              <w:t xml:space="preserve">3.1 – Défaut d’information </w:t>
            </w:r>
            <w:proofErr w:type="spellStart"/>
            <w:r w:rsidRPr="008779B7">
              <w:rPr>
                <w:rFonts w:ascii="Times New Roman" w:eastAsia="Times New Roman" w:hAnsi="Times New Roman" w:cs="Times New Roman"/>
                <w:kern w:val="0"/>
                <w:sz w:val="24"/>
                <w:szCs w:val="24"/>
                <w:lang w:eastAsia="fr-CH"/>
                <w14:ligatures w14:val="none"/>
              </w:rPr>
              <w:t>pré-contractuelle</w:t>
            </w:r>
            <w:proofErr w:type="spellEnd"/>
          </w:p>
        </w:tc>
        <w:tc>
          <w:tcPr>
            <w:tcW w:w="0" w:type="auto"/>
            <w:vAlign w:val="center"/>
            <w:hideMark/>
          </w:tcPr>
          <w:p w14:paraId="366FA8F2" w14:textId="77777777" w:rsidR="008779B7" w:rsidRPr="008779B7" w:rsidRDefault="008779B7" w:rsidP="008779B7">
            <w:pPr>
              <w:spacing w:after="0"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kern w:val="0"/>
                <w:sz w:val="24"/>
                <w:szCs w:val="24"/>
                <w:lang w:eastAsia="fr-CH"/>
                <w14:ligatures w14:val="none"/>
              </w:rPr>
              <w:t>Code civil suisse (obligation d’information), Code FMH (consentement éclairé)</w:t>
            </w:r>
          </w:p>
        </w:tc>
        <w:tc>
          <w:tcPr>
            <w:tcW w:w="0" w:type="auto"/>
            <w:vAlign w:val="center"/>
            <w:hideMark/>
          </w:tcPr>
          <w:p w14:paraId="74B11019" w14:textId="77777777" w:rsidR="008779B7" w:rsidRPr="008779B7" w:rsidRDefault="008779B7" w:rsidP="008779B7">
            <w:pPr>
              <w:spacing w:after="0"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kern w:val="0"/>
                <w:sz w:val="24"/>
                <w:szCs w:val="24"/>
                <w:lang w:eastAsia="fr-CH"/>
                <w14:ligatures w14:val="none"/>
              </w:rPr>
              <w:t>Insuffisance d’information avant l’intervention entraînant le litige</w:t>
            </w:r>
          </w:p>
        </w:tc>
      </w:tr>
    </w:tbl>
    <w:p w14:paraId="304C2415" w14:textId="77777777" w:rsidR="008779B7" w:rsidRPr="008779B7" w:rsidRDefault="008779B7" w:rsidP="008779B7">
      <w:pPr>
        <w:spacing w:before="100" w:beforeAutospacing="1" w:after="100" w:afterAutospacing="1" w:line="240" w:lineRule="auto"/>
        <w:outlineLvl w:val="2"/>
        <w:rPr>
          <w:rFonts w:ascii="Times New Roman" w:eastAsia="Times New Roman" w:hAnsi="Times New Roman" w:cs="Times New Roman"/>
          <w:b/>
          <w:bCs/>
          <w:kern w:val="0"/>
          <w:sz w:val="27"/>
          <w:szCs w:val="27"/>
          <w:lang w:eastAsia="fr-CH"/>
          <w14:ligatures w14:val="none"/>
        </w:rPr>
      </w:pPr>
      <w:r w:rsidRPr="008779B7">
        <w:rPr>
          <w:rFonts w:ascii="Times New Roman" w:eastAsia="Times New Roman" w:hAnsi="Times New Roman" w:cs="Times New Roman"/>
          <w:b/>
          <w:bCs/>
          <w:kern w:val="0"/>
          <w:sz w:val="27"/>
          <w:szCs w:val="27"/>
          <w:lang w:eastAsia="fr-CH"/>
          <w14:ligatures w14:val="none"/>
        </w:rPr>
        <w:t>Cas pratique 3.2 : Non-respect du suivi post-opératoire contractuel</w:t>
      </w:r>
    </w:p>
    <w:p w14:paraId="741115A3"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lastRenderedPageBreak/>
        <w:t>Mise en situation :</w:t>
      </w:r>
      <w:r w:rsidRPr="008779B7">
        <w:rPr>
          <w:rFonts w:ascii="Times New Roman" w:eastAsia="Times New Roman" w:hAnsi="Times New Roman" w:cs="Times New Roman"/>
          <w:kern w:val="0"/>
          <w:sz w:val="24"/>
          <w:szCs w:val="24"/>
          <w:lang w:eastAsia="fr-CH"/>
          <w14:ligatures w14:val="none"/>
        </w:rPr>
        <w:t xml:space="preserve"> Après une chirurgie, un établissement privé s’engage contractuellement à assurer un suivi régulier du patient. Le suivi est défaillant, et le patient subit une complication prévisible qui aurait pu être évitée.</w:t>
      </w:r>
    </w:p>
    <w:p w14:paraId="4E781084"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Réponse argumentée :</w:t>
      </w:r>
      <w:r w:rsidRPr="008779B7">
        <w:rPr>
          <w:rFonts w:ascii="Times New Roman" w:eastAsia="Times New Roman" w:hAnsi="Times New Roman" w:cs="Times New Roman"/>
          <w:kern w:val="0"/>
          <w:sz w:val="24"/>
          <w:szCs w:val="24"/>
          <w:lang w:eastAsia="fr-CH"/>
          <w14:ligatures w14:val="none"/>
        </w:rPr>
        <w:t xml:space="preserve"> Le non-respect du contrat de suivi constitue un manquement contractuel, engageant la responsabilité tant du médecin que de l’établissement.</w:t>
      </w:r>
    </w:p>
    <w:p w14:paraId="6F1E6CFF"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Articles de loi :</w:t>
      </w:r>
    </w:p>
    <w:p w14:paraId="7D4852B1" w14:textId="77777777" w:rsidR="008779B7" w:rsidRPr="008779B7" w:rsidRDefault="008779B7" w:rsidP="008779B7">
      <w:pPr>
        <w:numPr>
          <w:ilvl w:val="0"/>
          <w:numId w:val="14"/>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Code civil suisse</w:t>
      </w:r>
      <w:r w:rsidRPr="008779B7">
        <w:rPr>
          <w:rFonts w:ascii="Times New Roman" w:eastAsia="Times New Roman" w:hAnsi="Times New Roman" w:cs="Times New Roman"/>
          <w:kern w:val="0"/>
          <w:sz w:val="24"/>
          <w:szCs w:val="24"/>
          <w:lang w:eastAsia="fr-CH"/>
          <w14:ligatures w14:val="none"/>
        </w:rPr>
        <w:t xml:space="preserve"> sur l’exécution des contrats</w:t>
      </w:r>
    </w:p>
    <w:p w14:paraId="5A994B68" w14:textId="77777777" w:rsidR="008779B7" w:rsidRPr="008779B7" w:rsidRDefault="008779B7" w:rsidP="008779B7">
      <w:pPr>
        <w:numPr>
          <w:ilvl w:val="0"/>
          <w:numId w:val="14"/>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Directives internes et normes de l’établissement de soins</w:t>
      </w:r>
    </w:p>
    <w:p w14:paraId="45EEBF67"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Analyse approfondie :</w:t>
      </w:r>
      <w:r w:rsidRPr="008779B7">
        <w:rPr>
          <w:rFonts w:ascii="Times New Roman" w:eastAsia="Times New Roman" w:hAnsi="Times New Roman" w:cs="Times New Roman"/>
          <w:kern w:val="0"/>
          <w:sz w:val="24"/>
          <w:szCs w:val="24"/>
          <w:lang w:eastAsia="fr-CH"/>
          <w14:ligatures w14:val="none"/>
        </w:rPr>
        <w:t xml:space="preserve"> Le suivi post-opératoire est une obligation contractuelle explicite. Le défaut de mise en œuvre de ce suivi démontre une rupture des engagements contractuels et ouvre le droit à la réparation intégrale du dommage.</w:t>
      </w:r>
    </w:p>
    <w:p w14:paraId="7331BE76"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Tableau récapitulatif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60"/>
        <w:gridCol w:w="2834"/>
        <w:gridCol w:w="4244"/>
      </w:tblGrid>
      <w:tr w:rsidR="008779B7" w:rsidRPr="008779B7" w14:paraId="3A635723" w14:textId="77777777" w:rsidTr="008779B7">
        <w:trPr>
          <w:tblHeader/>
          <w:tblCellSpacing w:w="15" w:type="dxa"/>
        </w:trPr>
        <w:tc>
          <w:tcPr>
            <w:tcW w:w="0" w:type="auto"/>
            <w:vAlign w:val="center"/>
            <w:hideMark/>
          </w:tcPr>
          <w:p w14:paraId="5664B239" w14:textId="77777777" w:rsidR="008779B7" w:rsidRPr="008779B7" w:rsidRDefault="008779B7" w:rsidP="008779B7">
            <w:pPr>
              <w:spacing w:after="0" w:line="240" w:lineRule="auto"/>
              <w:jc w:val="center"/>
              <w:rPr>
                <w:rFonts w:ascii="Times New Roman" w:eastAsia="Times New Roman" w:hAnsi="Times New Roman" w:cs="Times New Roman"/>
                <w:b/>
                <w:bCs/>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Cas pratique</w:t>
            </w:r>
          </w:p>
        </w:tc>
        <w:tc>
          <w:tcPr>
            <w:tcW w:w="0" w:type="auto"/>
            <w:vAlign w:val="center"/>
            <w:hideMark/>
          </w:tcPr>
          <w:p w14:paraId="70160A33" w14:textId="77777777" w:rsidR="008779B7" w:rsidRPr="008779B7" w:rsidRDefault="008779B7" w:rsidP="008779B7">
            <w:pPr>
              <w:spacing w:after="0" w:line="240" w:lineRule="auto"/>
              <w:jc w:val="center"/>
              <w:rPr>
                <w:rFonts w:ascii="Times New Roman" w:eastAsia="Times New Roman" w:hAnsi="Times New Roman" w:cs="Times New Roman"/>
                <w:b/>
                <w:bCs/>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Articles de loi</w:t>
            </w:r>
          </w:p>
        </w:tc>
        <w:tc>
          <w:tcPr>
            <w:tcW w:w="0" w:type="auto"/>
            <w:vAlign w:val="center"/>
            <w:hideMark/>
          </w:tcPr>
          <w:p w14:paraId="18922A09" w14:textId="77777777" w:rsidR="008779B7" w:rsidRPr="008779B7" w:rsidRDefault="008779B7" w:rsidP="008779B7">
            <w:pPr>
              <w:spacing w:after="0" w:line="240" w:lineRule="auto"/>
              <w:jc w:val="center"/>
              <w:rPr>
                <w:rFonts w:ascii="Times New Roman" w:eastAsia="Times New Roman" w:hAnsi="Times New Roman" w:cs="Times New Roman"/>
                <w:b/>
                <w:bCs/>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Résumé</w:t>
            </w:r>
          </w:p>
        </w:tc>
      </w:tr>
      <w:tr w:rsidR="008779B7" w:rsidRPr="008779B7" w14:paraId="45D4AAF5" w14:textId="77777777" w:rsidTr="008779B7">
        <w:trPr>
          <w:tblCellSpacing w:w="15" w:type="dxa"/>
        </w:trPr>
        <w:tc>
          <w:tcPr>
            <w:tcW w:w="0" w:type="auto"/>
            <w:vAlign w:val="center"/>
            <w:hideMark/>
          </w:tcPr>
          <w:p w14:paraId="1012B894" w14:textId="77777777" w:rsidR="008779B7" w:rsidRPr="008779B7" w:rsidRDefault="008779B7" w:rsidP="008779B7">
            <w:pPr>
              <w:spacing w:after="0"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kern w:val="0"/>
                <w:sz w:val="24"/>
                <w:szCs w:val="24"/>
                <w:lang w:eastAsia="fr-CH"/>
                <w14:ligatures w14:val="none"/>
              </w:rPr>
              <w:t>3.2 – Défaut de suivi post-opératoire</w:t>
            </w:r>
          </w:p>
        </w:tc>
        <w:tc>
          <w:tcPr>
            <w:tcW w:w="0" w:type="auto"/>
            <w:vAlign w:val="center"/>
            <w:hideMark/>
          </w:tcPr>
          <w:p w14:paraId="393FB798" w14:textId="77777777" w:rsidR="008779B7" w:rsidRPr="008779B7" w:rsidRDefault="008779B7" w:rsidP="008779B7">
            <w:pPr>
              <w:spacing w:after="0"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kern w:val="0"/>
                <w:sz w:val="24"/>
                <w:szCs w:val="24"/>
                <w:lang w:eastAsia="fr-CH"/>
                <w14:ligatures w14:val="none"/>
              </w:rPr>
              <w:t>Code civil suisse (exécution des contrats)</w:t>
            </w:r>
          </w:p>
        </w:tc>
        <w:tc>
          <w:tcPr>
            <w:tcW w:w="0" w:type="auto"/>
            <w:vAlign w:val="center"/>
            <w:hideMark/>
          </w:tcPr>
          <w:p w14:paraId="5C73140A" w14:textId="77777777" w:rsidR="008779B7" w:rsidRPr="008779B7" w:rsidRDefault="008779B7" w:rsidP="008779B7">
            <w:pPr>
              <w:spacing w:after="0"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kern w:val="0"/>
                <w:sz w:val="24"/>
                <w:szCs w:val="24"/>
                <w:lang w:eastAsia="fr-CH"/>
                <w14:ligatures w14:val="none"/>
              </w:rPr>
              <w:t>Rupture d’engagement contractuel dans le suivi post-opératoire</w:t>
            </w:r>
          </w:p>
        </w:tc>
      </w:tr>
    </w:tbl>
    <w:p w14:paraId="0AAF655B" w14:textId="77777777" w:rsidR="008779B7" w:rsidRPr="008779B7" w:rsidRDefault="008779B7" w:rsidP="008779B7">
      <w:pPr>
        <w:spacing w:before="100" w:beforeAutospacing="1" w:after="100" w:afterAutospacing="1" w:line="240" w:lineRule="auto"/>
        <w:outlineLvl w:val="2"/>
        <w:rPr>
          <w:rFonts w:ascii="Times New Roman" w:eastAsia="Times New Roman" w:hAnsi="Times New Roman" w:cs="Times New Roman"/>
          <w:b/>
          <w:bCs/>
          <w:kern w:val="0"/>
          <w:sz w:val="27"/>
          <w:szCs w:val="27"/>
          <w:lang w:eastAsia="fr-CH"/>
          <w14:ligatures w14:val="none"/>
        </w:rPr>
      </w:pPr>
      <w:r w:rsidRPr="008779B7">
        <w:rPr>
          <w:rFonts w:ascii="Times New Roman" w:eastAsia="Times New Roman" w:hAnsi="Times New Roman" w:cs="Times New Roman"/>
          <w:b/>
          <w:bCs/>
          <w:kern w:val="0"/>
          <w:sz w:val="27"/>
          <w:szCs w:val="27"/>
          <w:lang w:eastAsia="fr-CH"/>
          <w14:ligatures w14:val="none"/>
        </w:rPr>
        <w:t>Cas pratique 3.3 : Rupture d’une convention de soins pluriannuelle</w:t>
      </w:r>
    </w:p>
    <w:p w14:paraId="05CFFA33"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Mise en situation :</w:t>
      </w:r>
      <w:r w:rsidRPr="008779B7">
        <w:rPr>
          <w:rFonts w:ascii="Times New Roman" w:eastAsia="Times New Roman" w:hAnsi="Times New Roman" w:cs="Times New Roman"/>
          <w:kern w:val="0"/>
          <w:sz w:val="24"/>
          <w:szCs w:val="24"/>
          <w:lang w:eastAsia="fr-CH"/>
          <w14:ligatures w14:val="none"/>
        </w:rPr>
        <w:t xml:space="preserve"> Un patient ayant souscrit à un programme de soins pluriannuel constate que le médecin modifie sans préavis les protocoles prévus dans le contrat, entraînant un traitement inadéquat lors d’une intervention clé.</w:t>
      </w:r>
    </w:p>
    <w:p w14:paraId="16BE3B77"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Réponse argumentée :</w:t>
      </w:r>
      <w:r w:rsidRPr="008779B7">
        <w:rPr>
          <w:rFonts w:ascii="Times New Roman" w:eastAsia="Times New Roman" w:hAnsi="Times New Roman" w:cs="Times New Roman"/>
          <w:kern w:val="0"/>
          <w:sz w:val="24"/>
          <w:szCs w:val="24"/>
          <w:lang w:eastAsia="fr-CH"/>
          <w14:ligatures w14:val="none"/>
        </w:rPr>
        <w:t xml:space="preserve"> La modification unilatérale des termes du contrat sans accord du patient constitue une rupture contractuelle. Cela ouvre la voie à une indemnisation pour le préjudice subi.</w:t>
      </w:r>
    </w:p>
    <w:p w14:paraId="1AFBFBE8"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Articles de loi :</w:t>
      </w:r>
    </w:p>
    <w:p w14:paraId="4FFBA52F" w14:textId="77777777" w:rsidR="008779B7" w:rsidRPr="008779B7" w:rsidRDefault="008779B7" w:rsidP="008779B7">
      <w:pPr>
        <w:numPr>
          <w:ilvl w:val="0"/>
          <w:numId w:val="15"/>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Code civil suisse</w:t>
      </w:r>
      <w:r w:rsidRPr="008779B7">
        <w:rPr>
          <w:rFonts w:ascii="Times New Roman" w:eastAsia="Times New Roman" w:hAnsi="Times New Roman" w:cs="Times New Roman"/>
          <w:kern w:val="0"/>
          <w:sz w:val="24"/>
          <w:szCs w:val="24"/>
          <w:lang w:eastAsia="fr-CH"/>
          <w14:ligatures w14:val="none"/>
        </w:rPr>
        <w:t xml:space="preserve"> sur la modification des contrats et la bonne foi contractuelle</w:t>
      </w:r>
    </w:p>
    <w:p w14:paraId="03FCD4DE" w14:textId="77777777" w:rsidR="008779B7" w:rsidRPr="008779B7" w:rsidRDefault="008779B7" w:rsidP="008779B7">
      <w:pPr>
        <w:numPr>
          <w:ilvl w:val="0"/>
          <w:numId w:val="15"/>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Code de déontologie FMH</w:t>
      </w:r>
      <w:r w:rsidRPr="008779B7">
        <w:rPr>
          <w:rFonts w:ascii="Times New Roman" w:eastAsia="Times New Roman" w:hAnsi="Times New Roman" w:cs="Times New Roman"/>
          <w:kern w:val="0"/>
          <w:sz w:val="24"/>
          <w:szCs w:val="24"/>
          <w:lang w:eastAsia="fr-CH"/>
          <w14:ligatures w14:val="none"/>
        </w:rPr>
        <w:t xml:space="preserve"> (respect des engagements pris)</w:t>
      </w:r>
    </w:p>
    <w:p w14:paraId="157F057E"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Analyse approfondie :</w:t>
      </w:r>
      <w:r w:rsidRPr="008779B7">
        <w:rPr>
          <w:rFonts w:ascii="Times New Roman" w:eastAsia="Times New Roman" w:hAnsi="Times New Roman" w:cs="Times New Roman"/>
          <w:kern w:val="0"/>
          <w:sz w:val="24"/>
          <w:szCs w:val="24"/>
          <w:lang w:eastAsia="fr-CH"/>
          <w14:ligatures w14:val="none"/>
        </w:rPr>
        <w:t xml:space="preserve"> L’évolution des protocoles de soins doit être communiquée et acceptée par le patient. Une déviation sans consentement explicite remet en cause la validité de l’accord initial et justifie une responsabilité contractuelle.</w:t>
      </w:r>
    </w:p>
    <w:p w14:paraId="45027922"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Tableau récapitulatif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65"/>
        <w:gridCol w:w="3667"/>
        <w:gridCol w:w="3606"/>
      </w:tblGrid>
      <w:tr w:rsidR="008779B7" w:rsidRPr="008779B7" w14:paraId="5CC189EF" w14:textId="77777777" w:rsidTr="008779B7">
        <w:trPr>
          <w:tblHeader/>
          <w:tblCellSpacing w:w="15" w:type="dxa"/>
        </w:trPr>
        <w:tc>
          <w:tcPr>
            <w:tcW w:w="0" w:type="auto"/>
            <w:vAlign w:val="center"/>
            <w:hideMark/>
          </w:tcPr>
          <w:p w14:paraId="0AEDD656" w14:textId="77777777" w:rsidR="008779B7" w:rsidRPr="008779B7" w:rsidRDefault="008779B7" w:rsidP="008779B7">
            <w:pPr>
              <w:spacing w:after="0" w:line="240" w:lineRule="auto"/>
              <w:jc w:val="center"/>
              <w:rPr>
                <w:rFonts w:ascii="Times New Roman" w:eastAsia="Times New Roman" w:hAnsi="Times New Roman" w:cs="Times New Roman"/>
                <w:b/>
                <w:bCs/>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Cas pratique</w:t>
            </w:r>
          </w:p>
        </w:tc>
        <w:tc>
          <w:tcPr>
            <w:tcW w:w="0" w:type="auto"/>
            <w:vAlign w:val="center"/>
            <w:hideMark/>
          </w:tcPr>
          <w:p w14:paraId="61445192" w14:textId="77777777" w:rsidR="008779B7" w:rsidRPr="008779B7" w:rsidRDefault="008779B7" w:rsidP="008779B7">
            <w:pPr>
              <w:spacing w:after="0" w:line="240" w:lineRule="auto"/>
              <w:jc w:val="center"/>
              <w:rPr>
                <w:rFonts w:ascii="Times New Roman" w:eastAsia="Times New Roman" w:hAnsi="Times New Roman" w:cs="Times New Roman"/>
                <w:b/>
                <w:bCs/>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Articles de loi</w:t>
            </w:r>
          </w:p>
        </w:tc>
        <w:tc>
          <w:tcPr>
            <w:tcW w:w="0" w:type="auto"/>
            <w:vAlign w:val="center"/>
            <w:hideMark/>
          </w:tcPr>
          <w:p w14:paraId="14FA2DF3" w14:textId="77777777" w:rsidR="008779B7" w:rsidRPr="008779B7" w:rsidRDefault="008779B7" w:rsidP="008779B7">
            <w:pPr>
              <w:spacing w:after="0" w:line="240" w:lineRule="auto"/>
              <w:jc w:val="center"/>
              <w:rPr>
                <w:rFonts w:ascii="Times New Roman" w:eastAsia="Times New Roman" w:hAnsi="Times New Roman" w:cs="Times New Roman"/>
                <w:b/>
                <w:bCs/>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Résumé</w:t>
            </w:r>
          </w:p>
        </w:tc>
      </w:tr>
      <w:tr w:rsidR="008779B7" w:rsidRPr="008779B7" w14:paraId="228547BB" w14:textId="77777777" w:rsidTr="008779B7">
        <w:trPr>
          <w:tblCellSpacing w:w="15" w:type="dxa"/>
        </w:trPr>
        <w:tc>
          <w:tcPr>
            <w:tcW w:w="0" w:type="auto"/>
            <w:vAlign w:val="center"/>
            <w:hideMark/>
          </w:tcPr>
          <w:p w14:paraId="07D57AAE" w14:textId="77777777" w:rsidR="008779B7" w:rsidRPr="008779B7" w:rsidRDefault="008779B7" w:rsidP="008779B7">
            <w:pPr>
              <w:spacing w:after="0"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kern w:val="0"/>
                <w:sz w:val="24"/>
                <w:szCs w:val="24"/>
                <w:lang w:eastAsia="fr-CH"/>
                <w14:ligatures w14:val="none"/>
              </w:rPr>
              <w:t>3.3 – Rupture d’une convention de soins</w:t>
            </w:r>
          </w:p>
        </w:tc>
        <w:tc>
          <w:tcPr>
            <w:tcW w:w="0" w:type="auto"/>
            <w:vAlign w:val="center"/>
            <w:hideMark/>
          </w:tcPr>
          <w:p w14:paraId="23D02B6C" w14:textId="77777777" w:rsidR="008779B7" w:rsidRPr="008779B7" w:rsidRDefault="008779B7" w:rsidP="008779B7">
            <w:pPr>
              <w:spacing w:after="0"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kern w:val="0"/>
                <w:sz w:val="24"/>
                <w:szCs w:val="24"/>
                <w:lang w:eastAsia="fr-CH"/>
                <w14:ligatures w14:val="none"/>
              </w:rPr>
              <w:t>Code civil suisse (modification contractuelle, bonne foi), Code FMH</w:t>
            </w:r>
          </w:p>
        </w:tc>
        <w:tc>
          <w:tcPr>
            <w:tcW w:w="0" w:type="auto"/>
            <w:vAlign w:val="center"/>
            <w:hideMark/>
          </w:tcPr>
          <w:p w14:paraId="041E8948" w14:textId="77777777" w:rsidR="008779B7" w:rsidRPr="008779B7" w:rsidRDefault="008779B7" w:rsidP="008779B7">
            <w:pPr>
              <w:spacing w:after="0"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kern w:val="0"/>
                <w:sz w:val="24"/>
                <w:szCs w:val="24"/>
                <w:lang w:eastAsia="fr-CH"/>
                <w14:ligatures w14:val="none"/>
              </w:rPr>
              <w:t>Changement unilatéral des termes du contrat entraînant un préjudice</w:t>
            </w:r>
          </w:p>
        </w:tc>
      </w:tr>
    </w:tbl>
    <w:p w14:paraId="6E1D89BA" w14:textId="77777777" w:rsidR="008779B7" w:rsidRPr="008779B7" w:rsidRDefault="008779B7" w:rsidP="008779B7">
      <w:pPr>
        <w:spacing w:before="100" w:beforeAutospacing="1" w:after="100" w:afterAutospacing="1" w:line="240" w:lineRule="auto"/>
        <w:outlineLvl w:val="2"/>
        <w:rPr>
          <w:rFonts w:ascii="Times New Roman" w:eastAsia="Times New Roman" w:hAnsi="Times New Roman" w:cs="Times New Roman"/>
          <w:b/>
          <w:bCs/>
          <w:kern w:val="0"/>
          <w:sz w:val="27"/>
          <w:szCs w:val="27"/>
          <w:lang w:eastAsia="fr-CH"/>
          <w14:ligatures w14:val="none"/>
        </w:rPr>
      </w:pPr>
      <w:r w:rsidRPr="008779B7">
        <w:rPr>
          <w:rFonts w:ascii="Times New Roman" w:eastAsia="Times New Roman" w:hAnsi="Times New Roman" w:cs="Times New Roman"/>
          <w:b/>
          <w:bCs/>
          <w:kern w:val="0"/>
          <w:sz w:val="27"/>
          <w:szCs w:val="27"/>
          <w:lang w:eastAsia="fr-CH"/>
          <w14:ligatures w14:val="none"/>
        </w:rPr>
        <w:t>Cas pratique 3.4 : Non-conformité d’un protocole de traitement contractuel</w:t>
      </w:r>
    </w:p>
    <w:p w14:paraId="7E3998A1"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Mise en situation :</w:t>
      </w:r>
      <w:r w:rsidRPr="008779B7">
        <w:rPr>
          <w:rFonts w:ascii="Times New Roman" w:eastAsia="Times New Roman" w:hAnsi="Times New Roman" w:cs="Times New Roman"/>
          <w:kern w:val="0"/>
          <w:sz w:val="24"/>
          <w:szCs w:val="24"/>
          <w:lang w:eastAsia="fr-CH"/>
          <w14:ligatures w14:val="none"/>
        </w:rPr>
        <w:t xml:space="preserve"> Lors d’une intervention programmée dans un hôpital privé, le protocole de traitement établi contractuellement n’est pas respecté, entraînant des complications que le patient n’avait pas anticipées.</w:t>
      </w:r>
    </w:p>
    <w:p w14:paraId="02A166A2"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lastRenderedPageBreak/>
        <w:t>Réponse argumentée :</w:t>
      </w:r>
      <w:r w:rsidRPr="008779B7">
        <w:rPr>
          <w:rFonts w:ascii="Times New Roman" w:eastAsia="Times New Roman" w:hAnsi="Times New Roman" w:cs="Times New Roman"/>
          <w:kern w:val="0"/>
          <w:sz w:val="24"/>
          <w:szCs w:val="24"/>
          <w:lang w:eastAsia="fr-CH"/>
          <w14:ligatures w14:val="none"/>
        </w:rPr>
        <w:t xml:space="preserve"> Le non-respect du protocole défini contractuellement engage la responsabilité contractuelle du prestataire de soins, de sorte que le patient peut demander réparation.</w:t>
      </w:r>
    </w:p>
    <w:p w14:paraId="04EAF7FF"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Articles de loi :</w:t>
      </w:r>
    </w:p>
    <w:p w14:paraId="4538AC62" w14:textId="77777777" w:rsidR="008779B7" w:rsidRPr="008779B7" w:rsidRDefault="008779B7" w:rsidP="008779B7">
      <w:pPr>
        <w:numPr>
          <w:ilvl w:val="0"/>
          <w:numId w:val="16"/>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Code civil suisse</w:t>
      </w:r>
      <w:r w:rsidRPr="008779B7">
        <w:rPr>
          <w:rFonts w:ascii="Times New Roman" w:eastAsia="Times New Roman" w:hAnsi="Times New Roman" w:cs="Times New Roman"/>
          <w:kern w:val="0"/>
          <w:sz w:val="24"/>
          <w:szCs w:val="24"/>
          <w:lang w:eastAsia="fr-CH"/>
          <w14:ligatures w14:val="none"/>
        </w:rPr>
        <w:t xml:space="preserve"> (exécution en nature et réparation du préjudice en cas de non-respect contractuel)</w:t>
      </w:r>
    </w:p>
    <w:p w14:paraId="2A3A05A8" w14:textId="77777777" w:rsidR="008779B7" w:rsidRPr="008779B7" w:rsidRDefault="008779B7" w:rsidP="008779B7">
      <w:pPr>
        <w:numPr>
          <w:ilvl w:val="0"/>
          <w:numId w:val="16"/>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Normes internes de l’établissement</w:t>
      </w:r>
      <w:r w:rsidRPr="008779B7">
        <w:rPr>
          <w:rFonts w:ascii="Times New Roman" w:eastAsia="Times New Roman" w:hAnsi="Times New Roman" w:cs="Times New Roman"/>
          <w:kern w:val="0"/>
          <w:sz w:val="24"/>
          <w:szCs w:val="24"/>
          <w:lang w:eastAsia="fr-CH"/>
          <w14:ligatures w14:val="none"/>
        </w:rPr>
        <w:t xml:space="preserve"> validées contractuellement</w:t>
      </w:r>
    </w:p>
    <w:p w14:paraId="0EF7D553"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Analyse approfondie :</w:t>
      </w:r>
      <w:r w:rsidRPr="008779B7">
        <w:rPr>
          <w:rFonts w:ascii="Times New Roman" w:eastAsia="Times New Roman" w:hAnsi="Times New Roman" w:cs="Times New Roman"/>
          <w:kern w:val="0"/>
          <w:sz w:val="24"/>
          <w:szCs w:val="24"/>
          <w:lang w:eastAsia="fr-CH"/>
          <w14:ligatures w14:val="none"/>
        </w:rPr>
        <w:t xml:space="preserve"> Lorsque le traitement diffère de ce qui a été contractuellement convenu, le patient subit une rupture de la confiance légale placée dans le contrat de soins. L’établissement et le médecin doivent réparer le dommage.</w:t>
      </w:r>
    </w:p>
    <w:p w14:paraId="54BF9C14"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Tableau récapitulatif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14"/>
        <w:gridCol w:w="3582"/>
        <w:gridCol w:w="4042"/>
      </w:tblGrid>
      <w:tr w:rsidR="008779B7" w:rsidRPr="008779B7" w14:paraId="7653AFA2" w14:textId="77777777" w:rsidTr="008779B7">
        <w:trPr>
          <w:tblHeader/>
          <w:tblCellSpacing w:w="15" w:type="dxa"/>
        </w:trPr>
        <w:tc>
          <w:tcPr>
            <w:tcW w:w="0" w:type="auto"/>
            <w:vAlign w:val="center"/>
            <w:hideMark/>
          </w:tcPr>
          <w:p w14:paraId="55D39DAE" w14:textId="77777777" w:rsidR="008779B7" w:rsidRPr="008779B7" w:rsidRDefault="008779B7" w:rsidP="008779B7">
            <w:pPr>
              <w:spacing w:after="0" w:line="240" w:lineRule="auto"/>
              <w:jc w:val="center"/>
              <w:rPr>
                <w:rFonts w:ascii="Times New Roman" w:eastAsia="Times New Roman" w:hAnsi="Times New Roman" w:cs="Times New Roman"/>
                <w:b/>
                <w:bCs/>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Cas pratique</w:t>
            </w:r>
          </w:p>
        </w:tc>
        <w:tc>
          <w:tcPr>
            <w:tcW w:w="0" w:type="auto"/>
            <w:vAlign w:val="center"/>
            <w:hideMark/>
          </w:tcPr>
          <w:p w14:paraId="32550410" w14:textId="77777777" w:rsidR="008779B7" w:rsidRPr="008779B7" w:rsidRDefault="008779B7" w:rsidP="008779B7">
            <w:pPr>
              <w:spacing w:after="0" w:line="240" w:lineRule="auto"/>
              <w:jc w:val="center"/>
              <w:rPr>
                <w:rFonts w:ascii="Times New Roman" w:eastAsia="Times New Roman" w:hAnsi="Times New Roman" w:cs="Times New Roman"/>
                <w:b/>
                <w:bCs/>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Articles de loi</w:t>
            </w:r>
          </w:p>
        </w:tc>
        <w:tc>
          <w:tcPr>
            <w:tcW w:w="0" w:type="auto"/>
            <w:vAlign w:val="center"/>
            <w:hideMark/>
          </w:tcPr>
          <w:p w14:paraId="0289AA37" w14:textId="77777777" w:rsidR="008779B7" w:rsidRPr="008779B7" w:rsidRDefault="008779B7" w:rsidP="008779B7">
            <w:pPr>
              <w:spacing w:after="0" w:line="240" w:lineRule="auto"/>
              <w:jc w:val="center"/>
              <w:rPr>
                <w:rFonts w:ascii="Times New Roman" w:eastAsia="Times New Roman" w:hAnsi="Times New Roman" w:cs="Times New Roman"/>
                <w:b/>
                <w:bCs/>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Résumé</w:t>
            </w:r>
          </w:p>
        </w:tc>
      </w:tr>
      <w:tr w:rsidR="008779B7" w:rsidRPr="008779B7" w14:paraId="7563F8D4" w14:textId="77777777" w:rsidTr="008779B7">
        <w:trPr>
          <w:tblCellSpacing w:w="15" w:type="dxa"/>
        </w:trPr>
        <w:tc>
          <w:tcPr>
            <w:tcW w:w="0" w:type="auto"/>
            <w:vAlign w:val="center"/>
            <w:hideMark/>
          </w:tcPr>
          <w:p w14:paraId="0385C7C7" w14:textId="77777777" w:rsidR="008779B7" w:rsidRPr="008779B7" w:rsidRDefault="008779B7" w:rsidP="008779B7">
            <w:pPr>
              <w:spacing w:after="0"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kern w:val="0"/>
                <w:sz w:val="24"/>
                <w:szCs w:val="24"/>
                <w:lang w:eastAsia="fr-CH"/>
                <w14:ligatures w14:val="none"/>
              </w:rPr>
              <w:t>3.4 – Non-conformité du protocole</w:t>
            </w:r>
          </w:p>
        </w:tc>
        <w:tc>
          <w:tcPr>
            <w:tcW w:w="0" w:type="auto"/>
            <w:vAlign w:val="center"/>
            <w:hideMark/>
          </w:tcPr>
          <w:p w14:paraId="3E4DD351" w14:textId="77777777" w:rsidR="008779B7" w:rsidRPr="008779B7" w:rsidRDefault="008779B7" w:rsidP="008779B7">
            <w:pPr>
              <w:spacing w:after="0"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kern w:val="0"/>
                <w:sz w:val="24"/>
                <w:szCs w:val="24"/>
                <w:lang w:eastAsia="fr-CH"/>
                <w14:ligatures w14:val="none"/>
              </w:rPr>
              <w:t>Code civil suisse (exécution des contrats), normes internes contractuelles</w:t>
            </w:r>
          </w:p>
        </w:tc>
        <w:tc>
          <w:tcPr>
            <w:tcW w:w="0" w:type="auto"/>
            <w:vAlign w:val="center"/>
            <w:hideMark/>
          </w:tcPr>
          <w:p w14:paraId="4AB0A2D7" w14:textId="77777777" w:rsidR="008779B7" w:rsidRPr="008779B7" w:rsidRDefault="008779B7" w:rsidP="008779B7">
            <w:pPr>
              <w:spacing w:after="0"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kern w:val="0"/>
                <w:sz w:val="24"/>
                <w:szCs w:val="24"/>
                <w:lang w:eastAsia="fr-CH"/>
                <w14:ligatures w14:val="none"/>
              </w:rPr>
              <w:t>Défaut d’application du protocole contractuel menant à des complications imprévues</w:t>
            </w:r>
          </w:p>
        </w:tc>
      </w:tr>
    </w:tbl>
    <w:p w14:paraId="174DDE58" w14:textId="77777777" w:rsidR="008779B7" w:rsidRPr="008779B7" w:rsidRDefault="008779B7" w:rsidP="008779B7">
      <w:pPr>
        <w:spacing w:before="100" w:beforeAutospacing="1" w:after="100" w:afterAutospacing="1" w:line="240" w:lineRule="auto"/>
        <w:outlineLvl w:val="2"/>
        <w:rPr>
          <w:rFonts w:ascii="Times New Roman" w:eastAsia="Times New Roman" w:hAnsi="Times New Roman" w:cs="Times New Roman"/>
          <w:b/>
          <w:bCs/>
          <w:kern w:val="0"/>
          <w:sz w:val="27"/>
          <w:szCs w:val="27"/>
          <w:lang w:eastAsia="fr-CH"/>
          <w14:ligatures w14:val="none"/>
        </w:rPr>
      </w:pPr>
      <w:r w:rsidRPr="008779B7">
        <w:rPr>
          <w:rFonts w:ascii="Times New Roman" w:eastAsia="Times New Roman" w:hAnsi="Times New Roman" w:cs="Times New Roman"/>
          <w:b/>
          <w:bCs/>
          <w:kern w:val="0"/>
          <w:sz w:val="27"/>
          <w:szCs w:val="27"/>
          <w:lang w:eastAsia="fr-CH"/>
          <w14:ligatures w14:val="none"/>
        </w:rPr>
        <w:t>Cas pratique 3.5 : Défaut de communication dans le cadre d’un contrat de traitement</w:t>
      </w:r>
    </w:p>
    <w:p w14:paraId="21579D3A"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Mise en situation :</w:t>
      </w:r>
      <w:r w:rsidRPr="008779B7">
        <w:rPr>
          <w:rFonts w:ascii="Times New Roman" w:eastAsia="Times New Roman" w:hAnsi="Times New Roman" w:cs="Times New Roman"/>
          <w:kern w:val="0"/>
          <w:sz w:val="24"/>
          <w:szCs w:val="24"/>
          <w:lang w:eastAsia="fr-CH"/>
          <w14:ligatures w14:val="none"/>
        </w:rPr>
        <w:t xml:space="preserve"> Un hôpital privé stipule dans son contrat une communication régulière sur l’évolution du traitement. Le médecin omet de tenir le patient informé des changements et complications, rendant difficile la prise de décision éclairée.</w:t>
      </w:r>
    </w:p>
    <w:p w14:paraId="393789F2"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Réponse argumentée :</w:t>
      </w:r>
      <w:r w:rsidRPr="008779B7">
        <w:rPr>
          <w:rFonts w:ascii="Times New Roman" w:eastAsia="Times New Roman" w:hAnsi="Times New Roman" w:cs="Times New Roman"/>
          <w:kern w:val="0"/>
          <w:sz w:val="24"/>
          <w:szCs w:val="24"/>
          <w:lang w:eastAsia="fr-CH"/>
          <w14:ligatures w14:val="none"/>
        </w:rPr>
        <w:t xml:space="preserve"> L’obligation d’information contractuelle étant rompue, le patient peut mettre en avant la violation du contrat pour réclamer des dommages-intérêts compensatoires.</w:t>
      </w:r>
    </w:p>
    <w:p w14:paraId="22B3D485"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Articles de loi :</w:t>
      </w:r>
    </w:p>
    <w:p w14:paraId="67ECB05B" w14:textId="77777777" w:rsidR="008779B7" w:rsidRPr="008779B7" w:rsidRDefault="008779B7" w:rsidP="008779B7">
      <w:pPr>
        <w:numPr>
          <w:ilvl w:val="0"/>
          <w:numId w:val="17"/>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Code civil suisse</w:t>
      </w:r>
      <w:r w:rsidRPr="008779B7">
        <w:rPr>
          <w:rFonts w:ascii="Times New Roman" w:eastAsia="Times New Roman" w:hAnsi="Times New Roman" w:cs="Times New Roman"/>
          <w:kern w:val="0"/>
          <w:sz w:val="24"/>
          <w:szCs w:val="24"/>
          <w:lang w:eastAsia="fr-CH"/>
          <w14:ligatures w14:val="none"/>
        </w:rPr>
        <w:t xml:space="preserve"> sur l’obligation d’information et la responsabilité contractuelle</w:t>
      </w:r>
    </w:p>
    <w:p w14:paraId="7E367C2E" w14:textId="77777777" w:rsidR="008779B7" w:rsidRPr="008779B7" w:rsidRDefault="008779B7" w:rsidP="008779B7">
      <w:pPr>
        <w:numPr>
          <w:ilvl w:val="0"/>
          <w:numId w:val="17"/>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Code de déontologie FMH</w:t>
      </w:r>
      <w:r w:rsidRPr="008779B7">
        <w:rPr>
          <w:rFonts w:ascii="Times New Roman" w:eastAsia="Times New Roman" w:hAnsi="Times New Roman" w:cs="Times New Roman"/>
          <w:kern w:val="0"/>
          <w:sz w:val="24"/>
          <w:szCs w:val="24"/>
          <w:lang w:eastAsia="fr-CH"/>
          <w14:ligatures w14:val="none"/>
        </w:rPr>
        <w:t xml:space="preserve"> relatif à la communication avec le patient</w:t>
      </w:r>
    </w:p>
    <w:p w14:paraId="0B46EAD9"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Analyse approfondie :</w:t>
      </w:r>
      <w:r w:rsidRPr="008779B7">
        <w:rPr>
          <w:rFonts w:ascii="Times New Roman" w:eastAsia="Times New Roman" w:hAnsi="Times New Roman" w:cs="Times New Roman"/>
          <w:kern w:val="0"/>
          <w:sz w:val="24"/>
          <w:szCs w:val="24"/>
          <w:lang w:eastAsia="fr-CH"/>
          <w14:ligatures w14:val="none"/>
        </w:rPr>
        <w:t xml:space="preserve"> La communication régulière est une condition essentielle du contrat de soins. En l’occurrence, le manquement à cette obligation entraîne une perte de confiance et un préjudice quant à la prise de décision, ce qui justifie une indemnisation.</w:t>
      </w:r>
    </w:p>
    <w:p w14:paraId="3AAC3D4E"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Tableau récapitulatif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44"/>
        <w:gridCol w:w="3975"/>
        <w:gridCol w:w="3519"/>
      </w:tblGrid>
      <w:tr w:rsidR="008779B7" w:rsidRPr="008779B7" w14:paraId="34EA38D3" w14:textId="77777777" w:rsidTr="008779B7">
        <w:trPr>
          <w:tblHeader/>
          <w:tblCellSpacing w:w="15" w:type="dxa"/>
        </w:trPr>
        <w:tc>
          <w:tcPr>
            <w:tcW w:w="0" w:type="auto"/>
            <w:vAlign w:val="center"/>
            <w:hideMark/>
          </w:tcPr>
          <w:p w14:paraId="7CB8B532" w14:textId="77777777" w:rsidR="008779B7" w:rsidRPr="008779B7" w:rsidRDefault="008779B7" w:rsidP="008779B7">
            <w:pPr>
              <w:spacing w:after="0" w:line="240" w:lineRule="auto"/>
              <w:jc w:val="center"/>
              <w:rPr>
                <w:rFonts w:ascii="Times New Roman" w:eastAsia="Times New Roman" w:hAnsi="Times New Roman" w:cs="Times New Roman"/>
                <w:b/>
                <w:bCs/>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Cas pratique</w:t>
            </w:r>
          </w:p>
        </w:tc>
        <w:tc>
          <w:tcPr>
            <w:tcW w:w="0" w:type="auto"/>
            <w:vAlign w:val="center"/>
            <w:hideMark/>
          </w:tcPr>
          <w:p w14:paraId="550C3387" w14:textId="77777777" w:rsidR="008779B7" w:rsidRPr="008779B7" w:rsidRDefault="008779B7" w:rsidP="008779B7">
            <w:pPr>
              <w:spacing w:after="0" w:line="240" w:lineRule="auto"/>
              <w:jc w:val="center"/>
              <w:rPr>
                <w:rFonts w:ascii="Times New Roman" w:eastAsia="Times New Roman" w:hAnsi="Times New Roman" w:cs="Times New Roman"/>
                <w:b/>
                <w:bCs/>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Articles de loi</w:t>
            </w:r>
          </w:p>
        </w:tc>
        <w:tc>
          <w:tcPr>
            <w:tcW w:w="0" w:type="auto"/>
            <w:vAlign w:val="center"/>
            <w:hideMark/>
          </w:tcPr>
          <w:p w14:paraId="50219F54" w14:textId="77777777" w:rsidR="008779B7" w:rsidRPr="008779B7" w:rsidRDefault="008779B7" w:rsidP="008779B7">
            <w:pPr>
              <w:spacing w:after="0" w:line="240" w:lineRule="auto"/>
              <w:jc w:val="center"/>
              <w:rPr>
                <w:rFonts w:ascii="Times New Roman" w:eastAsia="Times New Roman" w:hAnsi="Times New Roman" w:cs="Times New Roman"/>
                <w:b/>
                <w:bCs/>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Résumé</w:t>
            </w:r>
          </w:p>
        </w:tc>
      </w:tr>
      <w:tr w:rsidR="008779B7" w:rsidRPr="008779B7" w14:paraId="12EF42EE" w14:textId="77777777" w:rsidTr="008779B7">
        <w:trPr>
          <w:tblCellSpacing w:w="15" w:type="dxa"/>
        </w:trPr>
        <w:tc>
          <w:tcPr>
            <w:tcW w:w="0" w:type="auto"/>
            <w:vAlign w:val="center"/>
            <w:hideMark/>
          </w:tcPr>
          <w:p w14:paraId="1892D24B" w14:textId="77777777" w:rsidR="008779B7" w:rsidRPr="008779B7" w:rsidRDefault="008779B7" w:rsidP="008779B7">
            <w:pPr>
              <w:spacing w:after="0"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kern w:val="0"/>
                <w:sz w:val="24"/>
                <w:szCs w:val="24"/>
                <w:lang w:eastAsia="fr-CH"/>
                <w14:ligatures w14:val="none"/>
              </w:rPr>
              <w:t>3.5 – Défaut de communication</w:t>
            </w:r>
          </w:p>
        </w:tc>
        <w:tc>
          <w:tcPr>
            <w:tcW w:w="0" w:type="auto"/>
            <w:vAlign w:val="center"/>
            <w:hideMark/>
          </w:tcPr>
          <w:p w14:paraId="539A4057" w14:textId="77777777" w:rsidR="008779B7" w:rsidRPr="008779B7" w:rsidRDefault="008779B7" w:rsidP="008779B7">
            <w:pPr>
              <w:spacing w:after="0"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kern w:val="0"/>
                <w:sz w:val="24"/>
                <w:szCs w:val="24"/>
                <w:lang w:eastAsia="fr-CH"/>
                <w14:ligatures w14:val="none"/>
              </w:rPr>
              <w:t>Code civil suisse (obligation d’information), Code FMH (communication patient)</w:t>
            </w:r>
          </w:p>
        </w:tc>
        <w:tc>
          <w:tcPr>
            <w:tcW w:w="0" w:type="auto"/>
            <w:vAlign w:val="center"/>
            <w:hideMark/>
          </w:tcPr>
          <w:p w14:paraId="5FA3332E" w14:textId="77777777" w:rsidR="008779B7" w:rsidRPr="008779B7" w:rsidRDefault="008779B7" w:rsidP="008779B7">
            <w:pPr>
              <w:spacing w:after="0"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kern w:val="0"/>
                <w:sz w:val="24"/>
                <w:szCs w:val="24"/>
                <w:lang w:eastAsia="fr-CH"/>
                <w14:ligatures w14:val="none"/>
              </w:rPr>
              <w:t>Manquement à l’obligation d’informer le patient dans le cadre contractuel</w:t>
            </w:r>
          </w:p>
        </w:tc>
      </w:tr>
    </w:tbl>
    <w:p w14:paraId="7FE7686B" w14:textId="77777777" w:rsidR="008779B7" w:rsidRPr="008779B7" w:rsidRDefault="008779B7" w:rsidP="008779B7">
      <w:pPr>
        <w:spacing w:before="100" w:beforeAutospacing="1" w:after="100" w:afterAutospacing="1" w:line="240" w:lineRule="auto"/>
        <w:outlineLvl w:val="1"/>
        <w:rPr>
          <w:rFonts w:ascii="Times New Roman" w:eastAsia="Times New Roman" w:hAnsi="Times New Roman" w:cs="Times New Roman"/>
          <w:b/>
          <w:bCs/>
          <w:kern w:val="0"/>
          <w:sz w:val="36"/>
          <w:szCs w:val="36"/>
          <w:lang w:eastAsia="fr-CH"/>
          <w14:ligatures w14:val="none"/>
        </w:rPr>
      </w:pPr>
      <w:r w:rsidRPr="008779B7">
        <w:rPr>
          <w:rFonts w:ascii="Times New Roman" w:eastAsia="Times New Roman" w:hAnsi="Times New Roman" w:cs="Times New Roman"/>
          <w:b/>
          <w:bCs/>
          <w:kern w:val="0"/>
          <w:sz w:val="36"/>
          <w:szCs w:val="36"/>
          <w:lang w:eastAsia="fr-CH"/>
          <w14:ligatures w14:val="none"/>
        </w:rPr>
        <w:t>IV – La responsabilité extracontractuelle ou délictuelle</w:t>
      </w:r>
    </w:p>
    <w:p w14:paraId="6B9DC768" w14:textId="77777777" w:rsidR="008779B7" w:rsidRPr="008779B7" w:rsidRDefault="008779B7" w:rsidP="008779B7">
      <w:pPr>
        <w:spacing w:before="100" w:beforeAutospacing="1" w:after="100" w:afterAutospacing="1" w:line="240" w:lineRule="auto"/>
        <w:outlineLvl w:val="2"/>
        <w:rPr>
          <w:rFonts w:ascii="Times New Roman" w:eastAsia="Times New Roman" w:hAnsi="Times New Roman" w:cs="Times New Roman"/>
          <w:b/>
          <w:bCs/>
          <w:kern w:val="0"/>
          <w:sz w:val="27"/>
          <w:szCs w:val="27"/>
          <w:lang w:eastAsia="fr-CH"/>
          <w14:ligatures w14:val="none"/>
        </w:rPr>
      </w:pPr>
      <w:r w:rsidRPr="008779B7">
        <w:rPr>
          <w:rFonts w:ascii="Times New Roman" w:eastAsia="Times New Roman" w:hAnsi="Times New Roman" w:cs="Times New Roman"/>
          <w:b/>
          <w:bCs/>
          <w:kern w:val="0"/>
          <w:sz w:val="27"/>
          <w:szCs w:val="27"/>
          <w:lang w:eastAsia="fr-CH"/>
          <w14:ligatures w14:val="none"/>
        </w:rPr>
        <w:t>Cas pratique 4.1 : Dommage causé en dehors de toute relation contractuelle</w:t>
      </w:r>
    </w:p>
    <w:p w14:paraId="1EF7C869"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lastRenderedPageBreak/>
        <w:t>Mise en situation :</w:t>
      </w:r>
      <w:r w:rsidRPr="008779B7">
        <w:rPr>
          <w:rFonts w:ascii="Times New Roman" w:eastAsia="Times New Roman" w:hAnsi="Times New Roman" w:cs="Times New Roman"/>
          <w:kern w:val="0"/>
          <w:sz w:val="24"/>
          <w:szCs w:val="24"/>
          <w:lang w:eastAsia="fr-CH"/>
          <w14:ligatures w14:val="none"/>
        </w:rPr>
        <w:t xml:space="preserve"> Lors d’une consultation en cabinet privé, un médecin commet une erreur de jugement entraînant une mauvaise prise en charge. Bien qu’aucun contrat formel n’ait été signé, le patient subit un dommage direct lié à une action délictueuse du médecin.</w:t>
      </w:r>
    </w:p>
    <w:p w14:paraId="22D01FB7"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Réponse argumentée :</w:t>
      </w:r>
      <w:r w:rsidRPr="008779B7">
        <w:rPr>
          <w:rFonts w:ascii="Times New Roman" w:eastAsia="Times New Roman" w:hAnsi="Times New Roman" w:cs="Times New Roman"/>
          <w:kern w:val="0"/>
          <w:sz w:val="24"/>
          <w:szCs w:val="24"/>
          <w:lang w:eastAsia="fr-CH"/>
          <w14:ligatures w14:val="none"/>
        </w:rPr>
        <w:t xml:space="preserve"> En l’absence de relation contractuelle, la responsabilité extracontractuelle (responsabilité délictuelle) est engagée pour faute. La preuve du dommage et du lien de causalité suffit pour justifier une indemnisation.</w:t>
      </w:r>
    </w:p>
    <w:p w14:paraId="255D7278"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Articles de loi :</w:t>
      </w:r>
    </w:p>
    <w:p w14:paraId="0CFD27E9" w14:textId="77777777" w:rsidR="008779B7" w:rsidRPr="008779B7" w:rsidRDefault="008779B7" w:rsidP="008779B7">
      <w:pPr>
        <w:numPr>
          <w:ilvl w:val="0"/>
          <w:numId w:val="18"/>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Code civil suisse</w:t>
      </w:r>
      <w:r w:rsidRPr="008779B7">
        <w:rPr>
          <w:rFonts w:ascii="Times New Roman" w:eastAsia="Times New Roman" w:hAnsi="Times New Roman" w:cs="Times New Roman"/>
          <w:kern w:val="0"/>
          <w:sz w:val="24"/>
          <w:szCs w:val="24"/>
          <w:lang w:eastAsia="fr-CH"/>
          <w14:ligatures w14:val="none"/>
        </w:rPr>
        <w:t xml:space="preserve"> – dispositions relatives à la responsabilité pour faute (extracontractuelle)</w:t>
      </w:r>
    </w:p>
    <w:p w14:paraId="66F0BF9A" w14:textId="77777777" w:rsidR="008779B7" w:rsidRPr="008779B7" w:rsidRDefault="008779B7" w:rsidP="008779B7">
      <w:pPr>
        <w:numPr>
          <w:ilvl w:val="0"/>
          <w:numId w:val="18"/>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Jurisprudence en matière de délits médicaux</w:t>
      </w:r>
    </w:p>
    <w:p w14:paraId="3CF36C5C"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Analyse approfondie :</w:t>
      </w:r>
      <w:r w:rsidRPr="008779B7">
        <w:rPr>
          <w:rFonts w:ascii="Times New Roman" w:eastAsia="Times New Roman" w:hAnsi="Times New Roman" w:cs="Times New Roman"/>
          <w:kern w:val="0"/>
          <w:sz w:val="24"/>
          <w:szCs w:val="24"/>
          <w:lang w:eastAsia="fr-CH"/>
          <w14:ligatures w14:val="none"/>
        </w:rPr>
        <w:t xml:space="preserve"> L’</w:t>
      </w:r>
      <w:proofErr w:type="spellStart"/>
      <w:r w:rsidRPr="008779B7">
        <w:rPr>
          <w:rFonts w:ascii="Times New Roman" w:eastAsia="Times New Roman" w:hAnsi="Times New Roman" w:cs="Times New Roman"/>
          <w:kern w:val="0"/>
          <w:sz w:val="24"/>
          <w:szCs w:val="24"/>
          <w:lang w:eastAsia="fr-CH"/>
          <w14:ligatures w14:val="none"/>
        </w:rPr>
        <w:t>extracontractualité</w:t>
      </w:r>
      <w:proofErr w:type="spellEnd"/>
      <w:r w:rsidRPr="008779B7">
        <w:rPr>
          <w:rFonts w:ascii="Times New Roman" w:eastAsia="Times New Roman" w:hAnsi="Times New Roman" w:cs="Times New Roman"/>
          <w:kern w:val="0"/>
          <w:sz w:val="24"/>
          <w:szCs w:val="24"/>
          <w:lang w:eastAsia="fr-CH"/>
          <w14:ligatures w14:val="none"/>
        </w:rPr>
        <w:t xml:space="preserve"> suppose une faute juridique ayant causé un dommage. Ici, même sans contrat formel, la déviation des normes de soins suffit à engager la responsabilité du médecin.</w:t>
      </w:r>
    </w:p>
    <w:p w14:paraId="6190D119"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Tableau récapitulatif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79"/>
        <w:gridCol w:w="3928"/>
        <w:gridCol w:w="3331"/>
      </w:tblGrid>
      <w:tr w:rsidR="008779B7" w:rsidRPr="008779B7" w14:paraId="7E8F88A7" w14:textId="77777777" w:rsidTr="008779B7">
        <w:trPr>
          <w:tblHeader/>
          <w:tblCellSpacing w:w="15" w:type="dxa"/>
        </w:trPr>
        <w:tc>
          <w:tcPr>
            <w:tcW w:w="0" w:type="auto"/>
            <w:vAlign w:val="center"/>
            <w:hideMark/>
          </w:tcPr>
          <w:p w14:paraId="0BB29775" w14:textId="77777777" w:rsidR="008779B7" w:rsidRPr="008779B7" w:rsidRDefault="008779B7" w:rsidP="008779B7">
            <w:pPr>
              <w:spacing w:after="0" w:line="240" w:lineRule="auto"/>
              <w:jc w:val="center"/>
              <w:rPr>
                <w:rFonts w:ascii="Times New Roman" w:eastAsia="Times New Roman" w:hAnsi="Times New Roman" w:cs="Times New Roman"/>
                <w:b/>
                <w:bCs/>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Cas pratique</w:t>
            </w:r>
          </w:p>
        </w:tc>
        <w:tc>
          <w:tcPr>
            <w:tcW w:w="0" w:type="auto"/>
            <w:vAlign w:val="center"/>
            <w:hideMark/>
          </w:tcPr>
          <w:p w14:paraId="5D692224" w14:textId="77777777" w:rsidR="008779B7" w:rsidRPr="008779B7" w:rsidRDefault="008779B7" w:rsidP="008779B7">
            <w:pPr>
              <w:spacing w:after="0" w:line="240" w:lineRule="auto"/>
              <w:jc w:val="center"/>
              <w:rPr>
                <w:rFonts w:ascii="Times New Roman" w:eastAsia="Times New Roman" w:hAnsi="Times New Roman" w:cs="Times New Roman"/>
                <w:b/>
                <w:bCs/>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Articles de loi</w:t>
            </w:r>
          </w:p>
        </w:tc>
        <w:tc>
          <w:tcPr>
            <w:tcW w:w="0" w:type="auto"/>
            <w:vAlign w:val="center"/>
            <w:hideMark/>
          </w:tcPr>
          <w:p w14:paraId="254FB996" w14:textId="77777777" w:rsidR="008779B7" w:rsidRPr="008779B7" w:rsidRDefault="008779B7" w:rsidP="008779B7">
            <w:pPr>
              <w:spacing w:after="0" w:line="240" w:lineRule="auto"/>
              <w:jc w:val="center"/>
              <w:rPr>
                <w:rFonts w:ascii="Times New Roman" w:eastAsia="Times New Roman" w:hAnsi="Times New Roman" w:cs="Times New Roman"/>
                <w:b/>
                <w:bCs/>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Résumé</w:t>
            </w:r>
          </w:p>
        </w:tc>
      </w:tr>
      <w:tr w:rsidR="008779B7" w:rsidRPr="008779B7" w14:paraId="338377AA" w14:textId="77777777" w:rsidTr="008779B7">
        <w:trPr>
          <w:tblCellSpacing w:w="15" w:type="dxa"/>
        </w:trPr>
        <w:tc>
          <w:tcPr>
            <w:tcW w:w="0" w:type="auto"/>
            <w:vAlign w:val="center"/>
            <w:hideMark/>
          </w:tcPr>
          <w:p w14:paraId="637A74B6" w14:textId="77777777" w:rsidR="008779B7" w:rsidRPr="008779B7" w:rsidRDefault="008779B7" w:rsidP="008779B7">
            <w:pPr>
              <w:spacing w:after="0"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kern w:val="0"/>
                <w:sz w:val="24"/>
                <w:szCs w:val="24"/>
                <w:lang w:eastAsia="fr-CH"/>
                <w14:ligatures w14:val="none"/>
              </w:rPr>
              <w:t>4.1 – Dommage extracontractuel</w:t>
            </w:r>
          </w:p>
        </w:tc>
        <w:tc>
          <w:tcPr>
            <w:tcW w:w="0" w:type="auto"/>
            <w:vAlign w:val="center"/>
            <w:hideMark/>
          </w:tcPr>
          <w:p w14:paraId="6BDC68AB" w14:textId="77777777" w:rsidR="008779B7" w:rsidRPr="008779B7" w:rsidRDefault="008779B7" w:rsidP="008779B7">
            <w:pPr>
              <w:spacing w:after="0"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kern w:val="0"/>
                <w:sz w:val="24"/>
                <w:szCs w:val="24"/>
                <w:lang w:eastAsia="fr-CH"/>
                <w14:ligatures w14:val="none"/>
              </w:rPr>
              <w:t>Code civil suisse (responsabilité délictuelle), jurisprudence médicale</w:t>
            </w:r>
          </w:p>
        </w:tc>
        <w:tc>
          <w:tcPr>
            <w:tcW w:w="0" w:type="auto"/>
            <w:vAlign w:val="center"/>
            <w:hideMark/>
          </w:tcPr>
          <w:p w14:paraId="01A8604F" w14:textId="77777777" w:rsidR="008779B7" w:rsidRPr="008779B7" w:rsidRDefault="008779B7" w:rsidP="008779B7">
            <w:pPr>
              <w:spacing w:after="0"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kern w:val="0"/>
                <w:sz w:val="24"/>
                <w:szCs w:val="24"/>
                <w:lang w:eastAsia="fr-CH"/>
                <w14:ligatures w14:val="none"/>
              </w:rPr>
              <w:t>Faute en consultation sans relation contractuelle formelle</w:t>
            </w:r>
          </w:p>
        </w:tc>
      </w:tr>
    </w:tbl>
    <w:p w14:paraId="55927ABE" w14:textId="77777777" w:rsidR="008779B7" w:rsidRPr="008779B7" w:rsidRDefault="008779B7" w:rsidP="008779B7">
      <w:pPr>
        <w:spacing w:before="100" w:beforeAutospacing="1" w:after="100" w:afterAutospacing="1" w:line="240" w:lineRule="auto"/>
        <w:outlineLvl w:val="2"/>
        <w:rPr>
          <w:rFonts w:ascii="Times New Roman" w:eastAsia="Times New Roman" w:hAnsi="Times New Roman" w:cs="Times New Roman"/>
          <w:b/>
          <w:bCs/>
          <w:kern w:val="0"/>
          <w:sz w:val="27"/>
          <w:szCs w:val="27"/>
          <w:lang w:eastAsia="fr-CH"/>
          <w14:ligatures w14:val="none"/>
        </w:rPr>
      </w:pPr>
      <w:r w:rsidRPr="008779B7">
        <w:rPr>
          <w:rFonts w:ascii="Times New Roman" w:eastAsia="Times New Roman" w:hAnsi="Times New Roman" w:cs="Times New Roman"/>
          <w:b/>
          <w:bCs/>
          <w:kern w:val="0"/>
          <w:sz w:val="27"/>
          <w:szCs w:val="27"/>
          <w:lang w:eastAsia="fr-CH"/>
          <w14:ligatures w14:val="none"/>
        </w:rPr>
        <w:t>Cas pratique 4.2 : Accident survenu lors d’une consultation en dehors du cadre contractuel</w:t>
      </w:r>
    </w:p>
    <w:p w14:paraId="6F7BA306"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Mise en situation :</w:t>
      </w:r>
      <w:r w:rsidRPr="008779B7">
        <w:rPr>
          <w:rFonts w:ascii="Times New Roman" w:eastAsia="Times New Roman" w:hAnsi="Times New Roman" w:cs="Times New Roman"/>
          <w:kern w:val="0"/>
          <w:sz w:val="24"/>
          <w:szCs w:val="24"/>
          <w:lang w:eastAsia="fr-CH"/>
          <w14:ligatures w14:val="none"/>
        </w:rPr>
        <w:t xml:space="preserve"> Un patient se rend en consultation en urgence dans un cabinet médical. Pendant l’examen, une manipulation inappropriée provoque une blessure accidentelle, sans que le patient ait établi de contrat formel de soins.</w:t>
      </w:r>
    </w:p>
    <w:p w14:paraId="752A1729"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Réponse argumentée :</w:t>
      </w:r>
      <w:r w:rsidRPr="008779B7">
        <w:rPr>
          <w:rFonts w:ascii="Times New Roman" w:eastAsia="Times New Roman" w:hAnsi="Times New Roman" w:cs="Times New Roman"/>
          <w:kern w:val="0"/>
          <w:sz w:val="24"/>
          <w:szCs w:val="24"/>
          <w:lang w:eastAsia="fr-CH"/>
          <w14:ligatures w14:val="none"/>
        </w:rPr>
        <w:t xml:space="preserve"> La faute commise relève de la responsabilité délictuelle, car l’acte médical, même en urgence, doit respecter les normes de sécurité. L’accident médical entraîne l’obligation de réparer le dommage causé.</w:t>
      </w:r>
    </w:p>
    <w:p w14:paraId="6AC77501"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Articles de loi :</w:t>
      </w:r>
    </w:p>
    <w:p w14:paraId="00E0A3F9" w14:textId="77777777" w:rsidR="008779B7" w:rsidRPr="008779B7" w:rsidRDefault="008779B7" w:rsidP="008779B7">
      <w:pPr>
        <w:numPr>
          <w:ilvl w:val="0"/>
          <w:numId w:val="19"/>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Code civil suisse</w:t>
      </w:r>
      <w:r w:rsidRPr="008779B7">
        <w:rPr>
          <w:rFonts w:ascii="Times New Roman" w:eastAsia="Times New Roman" w:hAnsi="Times New Roman" w:cs="Times New Roman"/>
          <w:kern w:val="0"/>
          <w:sz w:val="24"/>
          <w:szCs w:val="24"/>
          <w:lang w:eastAsia="fr-CH"/>
          <w14:ligatures w14:val="none"/>
        </w:rPr>
        <w:t xml:space="preserve"> concernant la responsabilité extracontractuelle</w:t>
      </w:r>
    </w:p>
    <w:p w14:paraId="44FF3DA1" w14:textId="77777777" w:rsidR="008779B7" w:rsidRPr="008779B7" w:rsidRDefault="008779B7" w:rsidP="008779B7">
      <w:pPr>
        <w:numPr>
          <w:ilvl w:val="0"/>
          <w:numId w:val="19"/>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Réglementation applicable aux actes d’urgence médicale</w:t>
      </w:r>
    </w:p>
    <w:p w14:paraId="0EEC2FD8"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Analyse approfondie :</w:t>
      </w:r>
      <w:r w:rsidRPr="008779B7">
        <w:rPr>
          <w:rFonts w:ascii="Times New Roman" w:eastAsia="Times New Roman" w:hAnsi="Times New Roman" w:cs="Times New Roman"/>
          <w:kern w:val="0"/>
          <w:sz w:val="24"/>
          <w:szCs w:val="24"/>
          <w:lang w:eastAsia="fr-CH"/>
          <w14:ligatures w14:val="none"/>
        </w:rPr>
        <w:t xml:space="preserve"> La responsabilité délictuelle s’applique lorsque la relation n’est pas fondée sur un contrat formel. Le préjudice causé par la manipulation inappropriée justifie l’indemnisation du patient en raison de la violation des règles élémentaires de sécurité.</w:t>
      </w:r>
    </w:p>
    <w:p w14:paraId="15F4350F"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Tableau récapitulatif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42"/>
        <w:gridCol w:w="4027"/>
        <w:gridCol w:w="3169"/>
      </w:tblGrid>
      <w:tr w:rsidR="008779B7" w:rsidRPr="008779B7" w14:paraId="1FD8B69B" w14:textId="77777777" w:rsidTr="008779B7">
        <w:trPr>
          <w:tblHeader/>
          <w:tblCellSpacing w:w="15" w:type="dxa"/>
        </w:trPr>
        <w:tc>
          <w:tcPr>
            <w:tcW w:w="0" w:type="auto"/>
            <w:vAlign w:val="center"/>
            <w:hideMark/>
          </w:tcPr>
          <w:p w14:paraId="54A42DC8" w14:textId="77777777" w:rsidR="008779B7" w:rsidRPr="008779B7" w:rsidRDefault="008779B7" w:rsidP="008779B7">
            <w:pPr>
              <w:spacing w:after="0" w:line="240" w:lineRule="auto"/>
              <w:jc w:val="center"/>
              <w:rPr>
                <w:rFonts w:ascii="Times New Roman" w:eastAsia="Times New Roman" w:hAnsi="Times New Roman" w:cs="Times New Roman"/>
                <w:b/>
                <w:bCs/>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Cas pratique</w:t>
            </w:r>
          </w:p>
        </w:tc>
        <w:tc>
          <w:tcPr>
            <w:tcW w:w="0" w:type="auto"/>
            <w:vAlign w:val="center"/>
            <w:hideMark/>
          </w:tcPr>
          <w:p w14:paraId="397D2760" w14:textId="77777777" w:rsidR="008779B7" w:rsidRPr="008779B7" w:rsidRDefault="008779B7" w:rsidP="008779B7">
            <w:pPr>
              <w:spacing w:after="0" w:line="240" w:lineRule="auto"/>
              <w:jc w:val="center"/>
              <w:rPr>
                <w:rFonts w:ascii="Times New Roman" w:eastAsia="Times New Roman" w:hAnsi="Times New Roman" w:cs="Times New Roman"/>
                <w:b/>
                <w:bCs/>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Articles de loi</w:t>
            </w:r>
          </w:p>
        </w:tc>
        <w:tc>
          <w:tcPr>
            <w:tcW w:w="0" w:type="auto"/>
            <w:vAlign w:val="center"/>
            <w:hideMark/>
          </w:tcPr>
          <w:p w14:paraId="115C5FED" w14:textId="77777777" w:rsidR="008779B7" w:rsidRPr="008779B7" w:rsidRDefault="008779B7" w:rsidP="008779B7">
            <w:pPr>
              <w:spacing w:after="0" w:line="240" w:lineRule="auto"/>
              <w:jc w:val="center"/>
              <w:rPr>
                <w:rFonts w:ascii="Times New Roman" w:eastAsia="Times New Roman" w:hAnsi="Times New Roman" w:cs="Times New Roman"/>
                <w:b/>
                <w:bCs/>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Résumé</w:t>
            </w:r>
          </w:p>
        </w:tc>
      </w:tr>
      <w:tr w:rsidR="008779B7" w:rsidRPr="008779B7" w14:paraId="57E92F27" w14:textId="77777777" w:rsidTr="008779B7">
        <w:trPr>
          <w:tblCellSpacing w:w="15" w:type="dxa"/>
        </w:trPr>
        <w:tc>
          <w:tcPr>
            <w:tcW w:w="0" w:type="auto"/>
            <w:vAlign w:val="center"/>
            <w:hideMark/>
          </w:tcPr>
          <w:p w14:paraId="57E211ED" w14:textId="77777777" w:rsidR="008779B7" w:rsidRPr="008779B7" w:rsidRDefault="008779B7" w:rsidP="008779B7">
            <w:pPr>
              <w:spacing w:after="0"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kern w:val="0"/>
                <w:sz w:val="24"/>
                <w:szCs w:val="24"/>
                <w:lang w:eastAsia="fr-CH"/>
                <w14:ligatures w14:val="none"/>
              </w:rPr>
              <w:t>4.2 – Accident en consultation d’urgence</w:t>
            </w:r>
          </w:p>
        </w:tc>
        <w:tc>
          <w:tcPr>
            <w:tcW w:w="0" w:type="auto"/>
            <w:vAlign w:val="center"/>
            <w:hideMark/>
          </w:tcPr>
          <w:p w14:paraId="16D6A517" w14:textId="77777777" w:rsidR="008779B7" w:rsidRPr="008779B7" w:rsidRDefault="008779B7" w:rsidP="008779B7">
            <w:pPr>
              <w:spacing w:after="0"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kern w:val="0"/>
                <w:sz w:val="24"/>
                <w:szCs w:val="24"/>
                <w:lang w:eastAsia="fr-CH"/>
                <w14:ligatures w14:val="none"/>
              </w:rPr>
              <w:t>Code civil suisse (responsabilité délictuelle), règlement en urgence médicale</w:t>
            </w:r>
          </w:p>
        </w:tc>
        <w:tc>
          <w:tcPr>
            <w:tcW w:w="0" w:type="auto"/>
            <w:vAlign w:val="center"/>
            <w:hideMark/>
          </w:tcPr>
          <w:p w14:paraId="43881DBA" w14:textId="77777777" w:rsidR="008779B7" w:rsidRPr="008779B7" w:rsidRDefault="008779B7" w:rsidP="008779B7">
            <w:pPr>
              <w:spacing w:after="0"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kern w:val="0"/>
                <w:sz w:val="24"/>
                <w:szCs w:val="24"/>
                <w:lang w:eastAsia="fr-CH"/>
                <w14:ligatures w14:val="none"/>
              </w:rPr>
              <w:t>Préjudice accidentel en consultation hors cadre contractuel</w:t>
            </w:r>
          </w:p>
        </w:tc>
      </w:tr>
    </w:tbl>
    <w:p w14:paraId="27C2C90E" w14:textId="77777777" w:rsidR="008779B7" w:rsidRPr="008779B7" w:rsidRDefault="008779B7" w:rsidP="008779B7">
      <w:pPr>
        <w:spacing w:before="100" w:beforeAutospacing="1" w:after="100" w:afterAutospacing="1" w:line="240" w:lineRule="auto"/>
        <w:outlineLvl w:val="2"/>
        <w:rPr>
          <w:rFonts w:ascii="Times New Roman" w:eastAsia="Times New Roman" w:hAnsi="Times New Roman" w:cs="Times New Roman"/>
          <w:b/>
          <w:bCs/>
          <w:kern w:val="0"/>
          <w:sz w:val="27"/>
          <w:szCs w:val="27"/>
          <w:lang w:eastAsia="fr-CH"/>
          <w14:ligatures w14:val="none"/>
        </w:rPr>
      </w:pPr>
      <w:r w:rsidRPr="008779B7">
        <w:rPr>
          <w:rFonts w:ascii="Times New Roman" w:eastAsia="Times New Roman" w:hAnsi="Times New Roman" w:cs="Times New Roman"/>
          <w:b/>
          <w:bCs/>
          <w:kern w:val="0"/>
          <w:sz w:val="27"/>
          <w:szCs w:val="27"/>
          <w:lang w:eastAsia="fr-CH"/>
          <w14:ligatures w14:val="none"/>
        </w:rPr>
        <w:t>Cas pratique 4.3 : Négligence en salle d’attente entraînant un accident</w:t>
      </w:r>
    </w:p>
    <w:p w14:paraId="76A7E869"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lastRenderedPageBreak/>
        <w:t>Mise en situation :</w:t>
      </w:r>
      <w:r w:rsidRPr="008779B7">
        <w:rPr>
          <w:rFonts w:ascii="Times New Roman" w:eastAsia="Times New Roman" w:hAnsi="Times New Roman" w:cs="Times New Roman"/>
          <w:kern w:val="0"/>
          <w:sz w:val="24"/>
          <w:szCs w:val="24"/>
          <w:lang w:eastAsia="fr-CH"/>
          <w14:ligatures w14:val="none"/>
        </w:rPr>
        <w:t xml:space="preserve"> Dans une salle d’attente d’un cabinet de consultation, un patient trébuche sur du matériel mal rangé. Bien que l’erreur ne soit pas directement liée à un acte médical, la négligence dans l’entretien des locaux expose le patient à un risque non justifié.</w:t>
      </w:r>
    </w:p>
    <w:p w14:paraId="228C0B8B"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Réponse argumentée :</w:t>
      </w:r>
      <w:r w:rsidRPr="008779B7">
        <w:rPr>
          <w:rFonts w:ascii="Times New Roman" w:eastAsia="Times New Roman" w:hAnsi="Times New Roman" w:cs="Times New Roman"/>
          <w:kern w:val="0"/>
          <w:sz w:val="24"/>
          <w:szCs w:val="24"/>
          <w:lang w:eastAsia="fr-CH"/>
          <w14:ligatures w14:val="none"/>
        </w:rPr>
        <w:t xml:space="preserve"> La responsabilité extracontractuelle est engagée pour un dommage causé par une négligence dans la gestion des locaux. Le médecin, en tant que responsable de la sécurité des lieux, doit répondre du préjudice.</w:t>
      </w:r>
    </w:p>
    <w:p w14:paraId="71A38FA9"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Articles de loi :</w:t>
      </w:r>
    </w:p>
    <w:p w14:paraId="2ACB4121" w14:textId="77777777" w:rsidR="008779B7" w:rsidRPr="008779B7" w:rsidRDefault="008779B7" w:rsidP="008779B7">
      <w:pPr>
        <w:numPr>
          <w:ilvl w:val="0"/>
          <w:numId w:val="20"/>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Code civil suisse</w:t>
      </w:r>
      <w:r w:rsidRPr="008779B7">
        <w:rPr>
          <w:rFonts w:ascii="Times New Roman" w:eastAsia="Times New Roman" w:hAnsi="Times New Roman" w:cs="Times New Roman"/>
          <w:kern w:val="0"/>
          <w:sz w:val="24"/>
          <w:szCs w:val="24"/>
          <w:lang w:eastAsia="fr-CH"/>
          <w14:ligatures w14:val="none"/>
        </w:rPr>
        <w:t xml:space="preserve"> – dispositions relatives à la responsabilité délictuelle pour négligence</w:t>
      </w:r>
    </w:p>
    <w:p w14:paraId="528E56D8" w14:textId="77777777" w:rsidR="008779B7" w:rsidRPr="008779B7" w:rsidRDefault="008779B7" w:rsidP="008779B7">
      <w:pPr>
        <w:numPr>
          <w:ilvl w:val="0"/>
          <w:numId w:val="20"/>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Normes de sécurité applicables aux établissements de soins</w:t>
      </w:r>
    </w:p>
    <w:p w14:paraId="39A67DBA"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Analyse approfondie :</w:t>
      </w:r>
      <w:r w:rsidRPr="008779B7">
        <w:rPr>
          <w:rFonts w:ascii="Times New Roman" w:eastAsia="Times New Roman" w:hAnsi="Times New Roman" w:cs="Times New Roman"/>
          <w:kern w:val="0"/>
          <w:sz w:val="24"/>
          <w:szCs w:val="24"/>
          <w:lang w:eastAsia="fr-CH"/>
          <w14:ligatures w14:val="none"/>
        </w:rPr>
        <w:t xml:space="preserve"> Même si aucun acte médical n’est directement en cause, la sécurité du patient dans l’environnement du cabinet est une obligation du médecin. La négligence de l’entretien déclenche la responsabilité extracontractuelle.</w:t>
      </w:r>
    </w:p>
    <w:p w14:paraId="43321991"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Tableau récapitulatif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04"/>
        <w:gridCol w:w="3689"/>
        <w:gridCol w:w="3745"/>
      </w:tblGrid>
      <w:tr w:rsidR="008779B7" w:rsidRPr="008779B7" w14:paraId="739A3FBF" w14:textId="77777777" w:rsidTr="008779B7">
        <w:trPr>
          <w:tblHeader/>
          <w:tblCellSpacing w:w="15" w:type="dxa"/>
        </w:trPr>
        <w:tc>
          <w:tcPr>
            <w:tcW w:w="0" w:type="auto"/>
            <w:vAlign w:val="center"/>
            <w:hideMark/>
          </w:tcPr>
          <w:p w14:paraId="740BB713" w14:textId="77777777" w:rsidR="008779B7" w:rsidRPr="008779B7" w:rsidRDefault="008779B7" w:rsidP="008779B7">
            <w:pPr>
              <w:spacing w:after="0" w:line="240" w:lineRule="auto"/>
              <w:jc w:val="center"/>
              <w:rPr>
                <w:rFonts w:ascii="Times New Roman" w:eastAsia="Times New Roman" w:hAnsi="Times New Roman" w:cs="Times New Roman"/>
                <w:b/>
                <w:bCs/>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Cas pratique</w:t>
            </w:r>
          </w:p>
        </w:tc>
        <w:tc>
          <w:tcPr>
            <w:tcW w:w="0" w:type="auto"/>
            <w:vAlign w:val="center"/>
            <w:hideMark/>
          </w:tcPr>
          <w:p w14:paraId="007B4739" w14:textId="77777777" w:rsidR="008779B7" w:rsidRPr="008779B7" w:rsidRDefault="008779B7" w:rsidP="008779B7">
            <w:pPr>
              <w:spacing w:after="0" w:line="240" w:lineRule="auto"/>
              <w:jc w:val="center"/>
              <w:rPr>
                <w:rFonts w:ascii="Times New Roman" w:eastAsia="Times New Roman" w:hAnsi="Times New Roman" w:cs="Times New Roman"/>
                <w:b/>
                <w:bCs/>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Articles de loi</w:t>
            </w:r>
          </w:p>
        </w:tc>
        <w:tc>
          <w:tcPr>
            <w:tcW w:w="0" w:type="auto"/>
            <w:vAlign w:val="center"/>
            <w:hideMark/>
          </w:tcPr>
          <w:p w14:paraId="1467F7CD" w14:textId="77777777" w:rsidR="008779B7" w:rsidRPr="008779B7" w:rsidRDefault="008779B7" w:rsidP="008779B7">
            <w:pPr>
              <w:spacing w:after="0" w:line="240" w:lineRule="auto"/>
              <w:jc w:val="center"/>
              <w:rPr>
                <w:rFonts w:ascii="Times New Roman" w:eastAsia="Times New Roman" w:hAnsi="Times New Roman" w:cs="Times New Roman"/>
                <w:b/>
                <w:bCs/>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Résumé</w:t>
            </w:r>
          </w:p>
        </w:tc>
      </w:tr>
      <w:tr w:rsidR="008779B7" w:rsidRPr="008779B7" w14:paraId="185EED0E" w14:textId="77777777" w:rsidTr="008779B7">
        <w:trPr>
          <w:tblCellSpacing w:w="15" w:type="dxa"/>
        </w:trPr>
        <w:tc>
          <w:tcPr>
            <w:tcW w:w="0" w:type="auto"/>
            <w:vAlign w:val="center"/>
            <w:hideMark/>
          </w:tcPr>
          <w:p w14:paraId="7F8C8AA4" w14:textId="77777777" w:rsidR="008779B7" w:rsidRPr="008779B7" w:rsidRDefault="008779B7" w:rsidP="008779B7">
            <w:pPr>
              <w:spacing w:after="0"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kern w:val="0"/>
                <w:sz w:val="24"/>
                <w:szCs w:val="24"/>
                <w:lang w:eastAsia="fr-CH"/>
                <w14:ligatures w14:val="none"/>
              </w:rPr>
              <w:t>4.3 – Accident en salle d’attente</w:t>
            </w:r>
          </w:p>
        </w:tc>
        <w:tc>
          <w:tcPr>
            <w:tcW w:w="0" w:type="auto"/>
            <w:vAlign w:val="center"/>
            <w:hideMark/>
          </w:tcPr>
          <w:p w14:paraId="4DAFAEBD" w14:textId="77777777" w:rsidR="008779B7" w:rsidRPr="008779B7" w:rsidRDefault="008779B7" w:rsidP="008779B7">
            <w:pPr>
              <w:spacing w:after="0"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kern w:val="0"/>
                <w:sz w:val="24"/>
                <w:szCs w:val="24"/>
                <w:lang w:eastAsia="fr-CH"/>
                <w14:ligatures w14:val="none"/>
              </w:rPr>
              <w:t>Code civil suisse (négligence, responsabilité délictuelle)</w:t>
            </w:r>
          </w:p>
        </w:tc>
        <w:tc>
          <w:tcPr>
            <w:tcW w:w="0" w:type="auto"/>
            <w:vAlign w:val="center"/>
            <w:hideMark/>
          </w:tcPr>
          <w:p w14:paraId="67CF578F" w14:textId="77777777" w:rsidR="008779B7" w:rsidRPr="008779B7" w:rsidRDefault="008779B7" w:rsidP="008779B7">
            <w:pPr>
              <w:spacing w:after="0"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kern w:val="0"/>
                <w:sz w:val="24"/>
                <w:szCs w:val="24"/>
                <w:lang w:eastAsia="fr-CH"/>
                <w14:ligatures w14:val="none"/>
              </w:rPr>
              <w:t>Négligence dans l’entretien des locaux causant un accident</w:t>
            </w:r>
          </w:p>
        </w:tc>
      </w:tr>
    </w:tbl>
    <w:p w14:paraId="0CB8FF57" w14:textId="77777777" w:rsidR="008779B7" w:rsidRPr="008779B7" w:rsidRDefault="008779B7" w:rsidP="008779B7">
      <w:pPr>
        <w:spacing w:before="100" w:beforeAutospacing="1" w:after="100" w:afterAutospacing="1" w:line="240" w:lineRule="auto"/>
        <w:outlineLvl w:val="2"/>
        <w:rPr>
          <w:rFonts w:ascii="Times New Roman" w:eastAsia="Times New Roman" w:hAnsi="Times New Roman" w:cs="Times New Roman"/>
          <w:b/>
          <w:bCs/>
          <w:kern w:val="0"/>
          <w:sz w:val="27"/>
          <w:szCs w:val="27"/>
          <w:lang w:eastAsia="fr-CH"/>
          <w14:ligatures w14:val="none"/>
        </w:rPr>
      </w:pPr>
      <w:r w:rsidRPr="008779B7">
        <w:rPr>
          <w:rFonts w:ascii="Times New Roman" w:eastAsia="Times New Roman" w:hAnsi="Times New Roman" w:cs="Times New Roman"/>
          <w:b/>
          <w:bCs/>
          <w:kern w:val="0"/>
          <w:sz w:val="27"/>
          <w:szCs w:val="27"/>
          <w:lang w:eastAsia="fr-CH"/>
          <w14:ligatures w14:val="none"/>
        </w:rPr>
        <w:t>Cas pratique 4.4 : Erreur de diagnostic en situation d’urgence hors contrat</w:t>
      </w:r>
    </w:p>
    <w:p w14:paraId="30286A7F"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Mise en situation :</w:t>
      </w:r>
      <w:r w:rsidRPr="008779B7">
        <w:rPr>
          <w:rFonts w:ascii="Times New Roman" w:eastAsia="Times New Roman" w:hAnsi="Times New Roman" w:cs="Times New Roman"/>
          <w:kern w:val="0"/>
          <w:sz w:val="24"/>
          <w:szCs w:val="24"/>
          <w:lang w:eastAsia="fr-CH"/>
          <w14:ligatures w14:val="none"/>
        </w:rPr>
        <w:t xml:space="preserve"> Un patient, se présentant spontanément à une clinique non conventionnée, reçoit un diagnostic erroné lors d’une consultation d’urgence en dehors de tout cadre contractuel établi. Le retard dans la prise en charge cause une aggravation de son état.</w:t>
      </w:r>
    </w:p>
    <w:p w14:paraId="198A6554"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Réponse argumentée :</w:t>
      </w:r>
      <w:r w:rsidRPr="008779B7">
        <w:rPr>
          <w:rFonts w:ascii="Times New Roman" w:eastAsia="Times New Roman" w:hAnsi="Times New Roman" w:cs="Times New Roman"/>
          <w:kern w:val="0"/>
          <w:sz w:val="24"/>
          <w:szCs w:val="24"/>
          <w:lang w:eastAsia="fr-CH"/>
          <w14:ligatures w14:val="none"/>
        </w:rPr>
        <w:t xml:space="preserve"> La faute diagnostic en situation d’urgence, même hors relation contractuelle formelle, engage la responsabilité délictuelle du praticien, dès lors que le standard de soins n’est pas respecté.</w:t>
      </w:r>
    </w:p>
    <w:p w14:paraId="6D5DFD29"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Articles de loi :</w:t>
      </w:r>
    </w:p>
    <w:p w14:paraId="49C61032" w14:textId="77777777" w:rsidR="008779B7" w:rsidRPr="008779B7" w:rsidRDefault="008779B7" w:rsidP="008779B7">
      <w:pPr>
        <w:numPr>
          <w:ilvl w:val="0"/>
          <w:numId w:val="21"/>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Code civil suisse</w:t>
      </w:r>
      <w:r w:rsidRPr="008779B7">
        <w:rPr>
          <w:rFonts w:ascii="Times New Roman" w:eastAsia="Times New Roman" w:hAnsi="Times New Roman" w:cs="Times New Roman"/>
          <w:kern w:val="0"/>
          <w:sz w:val="24"/>
          <w:szCs w:val="24"/>
          <w:lang w:eastAsia="fr-CH"/>
          <w14:ligatures w14:val="none"/>
        </w:rPr>
        <w:t xml:space="preserve"> (responsabilité délictuelle pour erreur médicale)</w:t>
      </w:r>
    </w:p>
    <w:p w14:paraId="4E682335" w14:textId="77777777" w:rsidR="008779B7" w:rsidRPr="008779B7" w:rsidRDefault="008779B7" w:rsidP="008779B7">
      <w:pPr>
        <w:numPr>
          <w:ilvl w:val="0"/>
          <w:numId w:val="21"/>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Jurisprudence relative à la prise en charge des urgences</w:t>
      </w:r>
    </w:p>
    <w:p w14:paraId="0C1B8851"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Analyse approfondie :</w:t>
      </w:r>
      <w:r w:rsidRPr="008779B7">
        <w:rPr>
          <w:rFonts w:ascii="Times New Roman" w:eastAsia="Times New Roman" w:hAnsi="Times New Roman" w:cs="Times New Roman"/>
          <w:kern w:val="0"/>
          <w:sz w:val="24"/>
          <w:szCs w:val="24"/>
          <w:lang w:eastAsia="fr-CH"/>
          <w14:ligatures w14:val="none"/>
        </w:rPr>
        <w:t xml:space="preserve"> L’absence de contrat formel ne dispense pas le médecin de respecter les exigences minimales de diligence. Le manquement au standard de soins entraîne un lien direct avec l’aggravation de l’état du patient.</w:t>
      </w:r>
    </w:p>
    <w:p w14:paraId="174939A9"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Tableau récapitulatif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48"/>
        <w:gridCol w:w="3755"/>
        <w:gridCol w:w="3335"/>
      </w:tblGrid>
      <w:tr w:rsidR="008779B7" w:rsidRPr="008779B7" w14:paraId="43D79667" w14:textId="77777777" w:rsidTr="008779B7">
        <w:trPr>
          <w:tblHeader/>
          <w:tblCellSpacing w:w="15" w:type="dxa"/>
        </w:trPr>
        <w:tc>
          <w:tcPr>
            <w:tcW w:w="0" w:type="auto"/>
            <w:vAlign w:val="center"/>
            <w:hideMark/>
          </w:tcPr>
          <w:p w14:paraId="6F35BEA4" w14:textId="77777777" w:rsidR="008779B7" w:rsidRPr="008779B7" w:rsidRDefault="008779B7" w:rsidP="008779B7">
            <w:pPr>
              <w:spacing w:after="0" w:line="240" w:lineRule="auto"/>
              <w:jc w:val="center"/>
              <w:rPr>
                <w:rFonts w:ascii="Times New Roman" w:eastAsia="Times New Roman" w:hAnsi="Times New Roman" w:cs="Times New Roman"/>
                <w:b/>
                <w:bCs/>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Cas pratique</w:t>
            </w:r>
          </w:p>
        </w:tc>
        <w:tc>
          <w:tcPr>
            <w:tcW w:w="0" w:type="auto"/>
            <w:vAlign w:val="center"/>
            <w:hideMark/>
          </w:tcPr>
          <w:p w14:paraId="7BDF86E5" w14:textId="77777777" w:rsidR="008779B7" w:rsidRPr="008779B7" w:rsidRDefault="008779B7" w:rsidP="008779B7">
            <w:pPr>
              <w:spacing w:after="0" w:line="240" w:lineRule="auto"/>
              <w:jc w:val="center"/>
              <w:rPr>
                <w:rFonts w:ascii="Times New Roman" w:eastAsia="Times New Roman" w:hAnsi="Times New Roman" w:cs="Times New Roman"/>
                <w:b/>
                <w:bCs/>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Articles de loi</w:t>
            </w:r>
          </w:p>
        </w:tc>
        <w:tc>
          <w:tcPr>
            <w:tcW w:w="0" w:type="auto"/>
            <w:vAlign w:val="center"/>
            <w:hideMark/>
          </w:tcPr>
          <w:p w14:paraId="4946FFFE" w14:textId="77777777" w:rsidR="008779B7" w:rsidRPr="008779B7" w:rsidRDefault="008779B7" w:rsidP="008779B7">
            <w:pPr>
              <w:spacing w:after="0" w:line="240" w:lineRule="auto"/>
              <w:jc w:val="center"/>
              <w:rPr>
                <w:rFonts w:ascii="Times New Roman" w:eastAsia="Times New Roman" w:hAnsi="Times New Roman" w:cs="Times New Roman"/>
                <w:b/>
                <w:bCs/>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Résumé</w:t>
            </w:r>
          </w:p>
        </w:tc>
      </w:tr>
      <w:tr w:rsidR="008779B7" w:rsidRPr="008779B7" w14:paraId="5D1D8021" w14:textId="77777777" w:rsidTr="008779B7">
        <w:trPr>
          <w:tblCellSpacing w:w="15" w:type="dxa"/>
        </w:trPr>
        <w:tc>
          <w:tcPr>
            <w:tcW w:w="0" w:type="auto"/>
            <w:vAlign w:val="center"/>
            <w:hideMark/>
          </w:tcPr>
          <w:p w14:paraId="40B1D32C" w14:textId="77777777" w:rsidR="008779B7" w:rsidRPr="008779B7" w:rsidRDefault="008779B7" w:rsidP="008779B7">
            <w:pPr>
              <w:spacing w:after="0"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kern w:val="0"/>
                <w:sz w:val="24"/>
                <w:szCs w:val="24"/>
                <w:lang w:eastAsia="fr-CH"/>
                <w14:ligatures w14:val="none"/>
              </w:rPr>
              <w:t>4.4 – Erreur de diagnostic en urgence hors contrat</w:t>
            </w:r>
          </w:p>
        </w:tc>
        <w:tc>
          <w:tcPr>
            <w:tcW w:w="0" w:type="auto"/>
            <w:vAlign w:val="center"/>
            <w:hideMark/>
          </w:tcPr>
          <w:p w14:paraId="00FF0C17" w14:textId="77777777" w:rsidR="008779B7" w:rsidRPr="008779B7" w:rsidRDefault="008779B7" w:rsidP="008779B7">
            <w:pPr>
              <w:spacing w:after="0"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kern w:val="0"/>
                <w:sz w:val="24"/>
                <w:szCs w:val="24"/>
                <w:lang w:eastAsia="fr-CH"/>
                <w14:ligatures w14:val="none"/>
              </w:rPr>
              <w:t>Code civil suisse (responsabilité délictuelle), jurisprudence sur les urgences</w:t>
            </w:r>
          </w:p>
        </w:tc>
        <w:tc>
          <w:tcPr>
            <w:tcW w:w="0" w:type="auto"/>
            <w:vAlign w:val="center"/>
            <w:hideMark/>
          </w:tcPr>
          <w:p w14:paraId="537F7E4F" w14:textId="77777777" w:rsidR="008779B7" w:rsidRPr="008779B7" w:rsidRDefault="008779B7" w:rsidP="008779B7">
            <w:pPr>
              <w:spacing w:after="0"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kern w:val="0"/>
                <w:sz w:val="24"/>
                <w:szCs w:val="24"/>
                <w:lang w:eastAsia="fr-CH"/>
                <w14:ligatures w14:val="none"/>
              </w:rPr>
              <w:t>Manquement aux standards de soins en situation non contractuelle</w:t>
            </w:r>
          </w:p>
        </w:tc>
      </w:tr>
    </w:tbl>
    <w:p w14:paraId="4FC958B7" w14:textId="77777777" w:rsidR="008779B7" w:rsidRPr="008779B7" w:rsidRDefault="008779B7" w:rsidP="008779B7">
      <w:pPr>
        <w:spacing w:before="100" w:beforeAutospacing="1" w:after="100" w:afterAutospacing="1" w:line="240" w:lineRule="auto"/>
        <w:outlineLvl w:val="2"/>
        <w:rPr>
          <w:rFonts w:ascii="Times New Roman" w:eastAsia="Times New Roman" w:hAnsi="Times New Roman" w:cs="Times New Roman"/>
          <w:b/>
          <w:bCs/>
          <w:kern w:val="0"/>
          <w:sz w:val="27"/>
          <w:szCs w:val="27"/>
          <w:lang w:eastAsia="fr-CH"/>
          <w14:ligatures w14:val="none"/>
        </w:rPr>
      </w:pPr>
      <w:r w:rsidRPr="008779B7">
        <w:rPr>
          <w:rFonts w:ascii="Times New Roman" w:eastAsia="Times New Roman" w:hAnsi="Times New Roman" w:cs="Times New Roman"/>
          <w:b/>
          <w:bCs/>
          <w:kern w:val="0"/>
          <w:sz w:val="27"/>
          <w:szCs w:val="27"/>
          <w:lang w:eastAsia="fr-CH"/>
          <w14:ligatures w14:val="none"/>
        </w:rPr>
        <w:t xml:space="preserve">Cas pratique 4.5 : Dommage corporel </w:t>
      </w:r>
      <w:proofErr w:type="gramStart"/>
      <w:r w:rsidRPr="008779B7">
        <w:rPr>
          <w:rFonts w:ascii="Times New Roman" w:eastAsia="Times New Roman" w:hAnsi="Times New Roman" w:cs="Times New Roman"/>
          <w:b/>
          <w:bCs/>
          <w:kern w:val="0"/>
          <w:sz w:val="27"/>
          <w:szCs w:val="27"/>
          <w:lang w:eastAsia="fr-CH"/>
          <w14:ligatures w14:val="none"/>
        </w:rPr>
        <w:t>suite à un</w:t>
      </w:r>
      <w:proofErr w:type="gramEnd"/>
      <w:r w:rsidRPr="008779B7">
        <w:rPr>
          <w:rFonts w:ascii="Times New Roman" w:eastAsia="Times New Roman" w:hAnsi="Times New Roman" w:cs="Times New Roman"/>
          <w:b/>
          <w:bCs/>
          <w:kern w:val="0"/>
          <w:sz w:val="27"/>
          <w:szCs w:val="27"/>
          <w:lang w:eastAsia="fr-CH"/>
          <w14:ligatures w14:val="none"/>
        </w:rPr>
        <w:t xml:space="preserve"> acte de négligence non contractuelle</w:t>
      </w:r>
    </w:p>
    <w:p w14:paraId="7A5D3F71"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lastRenderedPageBreak/>
        <w:t>Mise en situation :</w:t>
      </w:r>
      <w:r w:rsidRPr="008779B7">
        <w:rPr>
          <w:rFonts w:ascii="Times New Roman" w:eastAsia="Times New Roman" w:hAnsi="Times New Roman" w:cs="Times New Roman"/>
          <w:kern w:val="0"/>
          <w:sz w:val="24"/>
          <w:szCs w:val="24"/>
          <w:lang w:eastAsia="fr-CH"/>
          <w14:ligatures w14:val="none"/>
        </w:rPr>
        <w:t xml:space="preserve"> Lors d’une consultation ambulatoire, une erreur technique dans l’administration d’un médicament provoque un dommage corporel prolongé chez le patient, sans qu’il n’existe de relation contractuelle formelle écrite.</w:t>
      </w:r>
    </w:p>
    <w:p w14:paraId="6657BF85"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Réponse argumentée :</w:t>
      </w:r>
      <w:r w:rsidRPr="008779B7">
        <w:rPr>
          <w:rFonts w:ascii="Times New Roman" w:eastAsia="Times New Roman" w:hAnsi="Times New Roman" w:cs="Times New Roman"/>
          <w:kern w:val="0"/>
          <w:sz w:val="24"/>
          <w:szCs w:val="24"/>
          <w:lang w:eastAsia="fr-CH"/>
          <w14:ligatures w14:val="none"/>
        </w:rPr>
        <w:t xml:space="preserve"> La faute technique relève de la responsabilité extracontractuelle. L’absence de contrat écrit n’exonère pas le médecin de garantir un minimum de précautions dans la délivrance des soins.</w:t>
      </w:r>
    </w:p>
    <w:p w14:paraId="4F5B39B1"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Articles de loi :</w:t>
      </w:r>
    </w:p>
    <w:p w14:paraId="79C1161C" w14:textId="77777777" w:rsidR="008779B7" w:rsidRPr="008779B7" w:rsidRDefault="008779B7" w:rsidP="008779B7">
      <w:pPr>
        <w:numPr>
          <w:ilvl w:val="0"/>
          <w:numId w:val="22"/>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Code civil suisse</w:t>
      </w:r>
      <w:r w:rsidRPr="008779B7">
        <w:rPr>
          <w:rFonts w:ascii="Times New Roman" w:eastAsia="Times New Roman" w:hAnsi="Times New Roman" w:cs="Times New Roman"/>
          <w:kern w:val="0"/>
          <w:sz w:val="24"/>
          <w:szCs w:val="24"/>
          <w:lang w:eastAsia="fr-CH"/>
          <w14:ligatures w14:val="none"/>
        </w:rPr>
        <w:t xml:space="preserve"> pour la responsabilité délictuelle</w:t>
      </w:r>
    </w:p>
    <w:p w14:paraId="7F7A3611" w14:textId="77777777" w:rsidR="008779B7" w:rsidRPr="008779B7" w:rsidRDefault="008779B7" w:rsidP="008779B7">
      <w:pPr>
        <w:numPr>
          <w:ilvl w:val="0"/>
          <w:numId w:val="22"/>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Directives de sécurité médicale</w:t>
      </w:r>
    </w:p>
    <w:p w14:paraId="0E791ACC"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Analyse approfondie :</w:t>
      </w:r>
      <w:r w:rsidRPr="008779B7">
        <w:rPr>
          <w:rFonts w:ascii="Times New Roman" w:eastAsia="Times New Roman" w:hAnsi="Times New Roman" w:cs="Times New Roman"/>
          <w:kern w:val="0"/>
          <w:sz w:val="24"/>
          <w:szCs w:val="24"/>
          <w:lang w:eastAsia="fr-CH"/>
          <w14:ligatures w14:val="none"/>
        </w:rPr>
        <w:t xml:space="preserve"> Le lien direct entre la négligence et le dommage subi permet de caractériser l’acte en tant que délit médical. Le patient est en droit d’exiger réparation intégrale du préjudice causé.</w:t>
      </w:r>
    </w:p>
    <w:p w14:paraId="5705B7E2"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Tableau récapitulatif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76"/>
        <w:gridCol w:w="3752"/>
        <w:gridCol w:w="3110"/>
      </w:tblGrid>
      <w:tr w:rsidR="008779B7" w:rsidRPr="008779B7" w14:paraId="611FE7A3" w14:textId="77777777" w:rsidTr="008779B7">
        <w:trPr>
          <w:tblHeader/>
          <w:tblCellSpacing w:w="15" w:type="dxa"/>
        </w:trPr>
        <w:tc>
          <w:tcPr>
            <w:tcW w:w="0" w:type="auto"/>
            <w:vAlign w:val="center"/>
            <w:hideMark/>
          </w:tcPr>
          <w:p w14:paraId="116C46A6" w14:textId="77777777" w:rsidR="008779B7" w:rsidRPr="008779B7" w:rsidRDefault="008779B7" w:rsidP="008779B7">
            <w:pPr>
              <w:spacing w:after="0" w:line="240" w:lineRule="auto"/>
              <w:jc w:val="center"/>
              <w:rPr>
                <w:rFonts w:ascii="Times New Roman" w:eastAsia="Times New Roman" w:hAnsi="Times New Roman" w:cs="Times New Roman"/>
                <w:b/>
                <w:bCs/>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Cas pratique</w:t>
            </w:r>
          </w:p>
        </w:tc>
        <w:tc>
          <w:tcPr>
            <w:tcW w:w="0" w:type="auto"/>
            <w:vAlign w:val="center"/>
            <w:hideMark/>
          </w:tcPr>
          <w:p w14:paraId="01DF1737" w14:textId="77777777" w:rsidR="008779B7" w:rsidRPr="008779B7" w:rsidRDefault="008779B7" w:rsidP="008779B7">
            <w:pPr>
              <w:spacing w:after="0" w:line="240" w:lineRule="auto"/>
              <w:jc w:val="center"/>
              <w:rPr>
                <w:rFonts w:ascii="Times New Roman" w:eastAsia="Times New Roman" w:hAnsi="Times New Roman" w:cs="Times New Roman"/>
                <w:b/>
                <w:bCs/>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Articles de loi</w:t>
            </w:r>
          </w:p>
        </w:tc>
        <w:tc>
          <w:tcPr>
            <w:tcW w:w="0" w:type="auto"/>
            <w:vAlign w:val="center"/>
            <w:hideMark/>
          </w:tcPr>
          <w:p w14:paraId="668A4257" w14:textId="77777777" w:rsidR="008779B7" w:rsidRPr="008779B7" w:rsidRDefault="008779B7" w:rsidP="008779B7">
            <w:pPr>
              <w:spacing w:after="0" w:line="240" w:lineRule="auto"/>
              <w:jc w:val="center"/>
              <w:rPr>
                <w:rFonts w:ascii="Times New Roman" w:eastAsia="Times New Roman" w:hAnsi="Times New Roman" w:cs="Times New Roman"/>
                <w:b/>
                <w:bCs/>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Résumé</w:t>
            </w:r>
          </w:p>
        </w:tc>
      </w:tr>
      <w:tr w:rsidR="008779B7" w:rsidRPr="008779B7" w14:paraId="4EA78F33" w14:textId="77777777" w:rsidTr="008779B7">
        <w:trPr>
          <w:tblCellSpacing w:w="15" w:type="dxa"/>
        </w:trPr>
        <w:tc>
          <w:tcPr>
            <w:tcW w:w="0" w:type="auto"/>
            <w:vAlign w:val="center"/>
            <w:hideMark/>
          </w:tcPr>
          <w:p w14:paraId="20063581" w14:textId="77777777" w:rsidR="008779B7" w:rsidRPr="008779B7" w:rsidRDefault="008779B7" w:rsidP="008779B7">
            <w:pPr>
              <w:spacing w:after="0"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kern w:val="0"/>
                <w:sz w:val="24"/>
                <w:szCs w:val="24"/>
                <w:lang w:eastAsia="fr-CH"/>
                <w14:ligatures w14:val="none"/>
              </w:rPr>
              <w:t>4.5 – Dommage corporel en consultation ambulatoire</w:t>
            </w:r>
          </w:p>
        </w:tc>
        <w:tc>
          <w:tcPr>
            <w:tcW w:w="0" w:type="auto"/>
            <w:vAlign w:val="center"/>
            <w:hideMark/>
          </w:tcPr>
          <w:p w14:paraId="293F4ECF" w14:textId="77777777" w:rsidR="008779B7" w:rsidRPr="008779B7" w:rsidRDefault="008779B7" w:rsidP="008779B7">
            <w:pPr>
              <w:spacing w:after="0"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kern w:val="0"/>
                <w:sz w:val="24"/>
                <w:szCs w:val="24"/>
                <w:lang w:eastAsia="fr-CH"/>
                <w14:ligatures w14:val="none"/>
              </w:rPr>
              <w:t>Code civil suisse (responsabilité délictuelle), directives de sécurité médicale</w:t>
            </w:r>
          </w:p>
        </w:tc>
        <w:tc>
          <w:tcPr>
            <w:tcW w:w="0" w:type="auto"/>
            <w:vAlign w:val="center"/>
            <w:hideMark/>
          </w:tcPr>
          <w:p w14:paraId="7CBF36D5" w14:textId="77777777" w:rsidR="008779B7" w:rsidRPr="008779B7" w:rsidRDefault="008779B7" w:rsidP="008779B7">
            <w:pPr>
              <w:spacing w:after="0"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kern w:val="0"/>
                <w:sz w:val="24"/>
                <w:szCs w:val="24"/>
                <w:lang w:eastAsia="fr-CH"/>
                <w14:ligatures w14:val="none"/>
              </w:rPr>
              <w:t>Faute technique en consultation causant un dommage corporel</w:t>
            </w:r>
          </w:p>
        </w:tc>
      </w:tr>
    </w:tbl>
    <w:p w14:paraId="0D2D8141" w14:textId="77777777" w:rsidR="008779B7" w:rsidRPr="008779B7" w:rsidRDefault="008779B7" w:rsidP="008779B7">
      <w:pPr>
        <w:spacing w:before="100" w:beforeAutospacing="1" w:after="100" w:afterAutospacing="1" w:line="240" w:lineRule="auto"/>
        <w:outlineLvl w:val="1"/>
        <w:rPr>
          <w:rFonts w:ascii="Times New Roman" w:eastAsia="Times New Roman" w:hAnsi="Times New Roman" w:cs="Times New Roman"/>
          <w:b/>
          <w:bCs/>
          <w:kern w:val="0"/>
          <w:sz w:val="36"/>
          <w:szCs w:val="36"/>
          <w:lang w:eastAsia="fr-CH"/>
          <w14:ligatures w14:val="none"/>
        </w:rPr>
      </w:pPr>
      <w:r w:rsidRPr="008779B7">
        <w:rPr>
          <w:rFonts w:ascii="Times New Roman" w:eastAsia="Times New Roman" w:hAnsi="Times New Roman" w:cs="Times New Roman"/>
          <w:b/>
          <w:bCs/>
          <w:kern w:val="0"/>
          <w:sz w:val="36"/>
          <w:szCs w:val="36"/>
          <w:lang w:eastAsia="fr-CH"/>
          <w14:ligatures w14:val="none"/>
        </w:rPr>
        <w:t>V – La condition de la responsabilité civile : le dommage</w:t>
      </w:r>
    </w:p>
    <w:p w14:paraId="25C45968" w14:textId="77777777" w:rsidR="008779B7" w:rsidRPr="008779B7" w:rsidRDefault="008779B7" w:rsidP="008779B7">
      <w:pPr>
        <w:spacing w:before="100" w:beforeAutospacing="1" w:after="100" w:afterAutospacing="1" w:line="240" w:lineRule="auto"/>
        <w:outlineLvl w:val="2"/>
        <w:rPr>
          <w:rFonts w:ascii="Times New Roman" w:eastAsia="Times New Roman" w:hAnsi="Times New Roman" w:cs="Times New Roman"/>
          <w:b/>
          <w:bCs/>
          <w:kern w:val="0"/>
          <w:sz w:val="27"/>
          <w:szCs w:val="27"/>
          <w:lang w:eastAsia="fr-CH"/>
          <w14:ligatures w14:val="none"/>
        </w:rPr>
      </w:pPr>
      <w:r w:rsidRPr="008779B7">
        <w:rPr>
          <w:rFonts w:ascii="Times New Roman" w:eastAsia="Times New Roman" w:hAnsi="Times New Roman" w:cs="Times New Roman"/>
          <w:b/>
          <w:bCs/>
          <w:kern w:val="0"/>
          <w:sz w:val="27"/>
          <w:szCs w:val="27"/>
          <w:lang w:eastAsia="fr-CH"/>
          <w14:ligatures w14:val="none"/>
        </w:rPr>
        <w:t>Cas pratique 5.1 : Doute sur le lien de causalité</w:t>
      </w:r>
    </w:p>
    <w:p w14:paraId="78A6A67F"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Mise en situation :</w:t>
      </w:r>
      <w:r w:rsidRPr="008779B7">
        <w:rPr>
          <w:rFonts w:ascii="Times New Roman" w:eastAsia="Times New Roman" w:hAnsi="Times New Roman" w:cs="Times New Roman"/>
          <w:kern w:val="0"/>
          <w:sz w:val="24"/>
          <w:szCs w:val="24"/>
          <w:lang w:eastAsia="fr-CH"/>
          <w14:ligatures w14:val="none"/>
        </w:rPr>
        <w:t xml:space="preserve"> Un patient subit un traitement qui est suivi, par ailleurs, d’un événement indésirable (une infection) dont l’origine pourrait être multifactorielle. L’établissement doit prouver que le dommage est imputable directement à une faute médicale.</w:t>
      </w:r>
    </w:p>
    <w:p w14:paraId="2C4E4D6D"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Réponse argumentée :</w:t>
      </w:r>
      <w:r w:rsidRPr="008779B7">
        <w:rPr>
          <w:rFonts w:ascii="Times New Roman" w:eastAsia="Times New Roman" w:hAnsi="Times New Roman" w:cs="Times New Roman"/>
          <w:kern w:val="0"/>
          <w:sz w:val="24"/>
          <w:szCs w:val="24"/>
          <w:lang w:eastAsia="fr-CH"/>
          <w14:ligatures w14:val="none"/>
        </w:rPr>
        <w:t xml:space="preserve"> La responsabilité ne peut être engagée que si le dommage est démontré et qu’un lien de causalité certain est établi entre la faute et le préjudice. Ici, le doute sur le lien causal affaiblit la demande de réparation.</w:t>
      </w:r>
    </w:p>
    <w:p w14:paraId="52FD08AB"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Articles de loi :</w:t>
      </w:r>
    </w:p>
    <w:p w14:paraId="50425931" w14:textId="77777777" w:rsidR="008779B7" w:rsidRPr="008779B7" w:rsidRDefault="008779B7" w:rsidP="008779B7">
      <w:pPr>
        <w:numPr>
          <w:ilvl w:val="0"/>
          <w:numId w:val="23"/>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Code civil suisse</w:t>
      </w:r>
      <w:r w:rsidRPr="008779B7">
        <w:rPr>
          <w:rFonts w:ascii="Times New Roman" w:eastAsia="Times New Roman" w:hAnsi="Times New Roman" w:cs="Times New Roman"/>
          <w:kern w:val="0"/>
          <w:sz w:val="24"/>
          <w:szCs w:val="24"/>
          <w:lang w:eastAsia="fr-CH"/>
          <w14:ligatures w14:val="none"/>
        </w:rPr>
        <w:t xml:space="preserve"> (notion de causalité en responsabilité)</w:t>
      </w:r>
    </w:p>
    <w:p w14:paraId="1C649B2C" w14:textId="77777777" w:rsidR="008779B7" w:rsidRPr="008779B7" w:rsidRDefault="008779B7" w:rsidP="008779B7">
      <w:pPr>
        <w:numPr>
          <w:ilvl w:val="0"/>
          <w:numId w:val="23"/>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Jurisprudence sur la preuve du dommage</w:t>
      </w:r>
    </w:p>
    <w:p w14:paraId="5AA1AFD0"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Analyse approfondie :</w:t>
      </w:r>
      <w:r w:rsidRPr="008779B7">
        <w:rPr>
          <w:rFonts w:ascii="Times New Roman" w:eastAsia="Times New Roman" w:hAnsi="Times New Roman" w:cs="Times New Roman"/>
          <w:kern w:val="0"/>
          <w:sz w:val="24"/>
          <w:szCs w:val="24"/>
          <w:lang w:eastAsia="fr-CH"/>
          <w14:ligatures w14:val="none"/>
        </w:rPr>
        <w:t xml:space="preserve"> L’élément essentiel de tout litige en responsabilité civile est la preuve du dommage et son lien direct avec la faute. Le juge examinera la corrélation pour accorder ou refuser l’indemnisation.</w:t>
      </w:r>
    </w:p>
    <w:p w14:paraId="07E2ADAF"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Tableau récapitulatif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15"/>
        <w:gridCol w:w="3311"/>
        <w:gridCol w:w="4112"/>
      </w:tblGrid>
      <w:tr w:rsidR="008779B7" w:rsidRPr="008779B7" w14:paraId="7E731894" w14:textId="77777777" w:rsidTr="008779B7">
        <w:trPr>
          <w:tblHeader/>
          <w:tblCellSpacing w:w="15" w:type="dxa"/>
        </w:trPr>
        <w:tc>
          <w:tcPr>
            <w:tcW w:w="0" w:type="auto"/>
            <w:vAlign w:val="center"/>
            <w:hideMark/>
          </w:tcPr>
          <w:p w14:paraId="1E2DD45D" w14:textId="77777777" w:rsidR="008779B7" w:rsidRPr="008779B7" w:rsidRDefault="008779B7" w:rsidP="008779B7">
            <w:pPr>
              <w:spacing w:after="0" w:line="240" w:lineRule="auto"/>
              <w:jc w:val="center"/>
              <w:rPr>
                <w:rFonts w:ascii="Times New Roman" w:eastAsia="Times New Roman" w:hAnsi="Times New Roman" w:cs="Times New Roman"/>
                <w:b/>
                <w:bCs/>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Cas pratique</w:t>
            </w:r>
          </w:p>
        </w:tc>
        <w:tc>
          <w:tcPr>
            <w:tcW w:w="0" w:type="auto"/>
            <w:vAlign w:val="center"/>
            <w:hideMark/>
          </w:tcPr>
          <w:p w14:paraId="5F38B9B1" w14:textId="77777777" w:rsidR="008779B7" w:rsidRPr="008779B7" w:rsidRDefault="008779B7" w:rsidP="008779B7">
            <w:pPr>
              <w:spacing w:after="0" w:line="240" w:lineRule="auto"/>
              <w:jc w:val="center"/>
              <w:rPr>
                <w:rFonts w:ascii="Times New Roman" w:eastAsia="Times New Roman" w:hAnsi="Times New Roman" w:cs="Times New Roman"/>
                <w:b/>
                <w:bCs/>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Articles de loi</w:t>
            </w:r>
          </w:p>
        </w:tc>
        <w:tc>
          <w:tcPr>
            <w:tcW w:w="0" w:type="auto"/>
            <w:vAlign w:val="center"/>
            <w:hideMark/>
          </w:tcPr>
          <w:p w14:paraId="1E38A733" w14:textId="77777777" w:rsidR="008779B7" w:rsidRPr="008779B7" w:rsidRDefault="008779B7" w:rsidP="008779B7">
            <w:pPr>
              <w:spacing w:after="0" w:line="240" w:lineRule="auto"/>
              <w:jc w:val="center"/>
              <w:rPr>
                <w:rFonts w:ascii="Times New Roman" w:eastAsia="Times New Roman" w:hAnsi="Times New Roman" w:cs="Times New Roman"/>
                <w:b/>
                <w:bCs/>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Résumé</w:t>
            </w:r>
          </w:p>
        </w:tc>
      </w:tr>
      <w:tr w:rsidR="008779B7" w:rsidRPr="008779B7" w14:paraId="6C8E4790" w14:textId="77777777" w:rsidTr="008779B7">
        <w:trPr>
          <w:tblCellSpacing w:w="15" w:type="dxa"/>
        </w:trPr>
        <w:tc>
          <w:tcPr>
            <w:tcW w:w="0" w:type="auto"/>
            <w:vAlign w:val="center"/>
            <w:hideMark/>
          </w:tcPr>
          <w:p w14:paraId="2082E9CB" w14:textId="77777777" w:rsidR="008779B7" w:rsidRPr="008779B7" w:rsidRDefault="008779B7" w:rsidP="008779B7">
            <w:pPr>
              <w:spacing w:after="0"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kern w:val="0"/>
                <w:sz w:val="24"/>
                <w:szCs w:val="24"/>
                <w:lang w:eastAsia="fr-CH"/>
                <w14:ligatures w14:val="none"/>
              </w:rPr>
              <w:t>5.1 – Doute sur le lien de causalité</w:t>
            </w:r>
          </w:p>
        </w:tc>
        <w:tc>
          <w:tcPr>
            <w:tcW w:w="0" w:type="auto"/>
            <w:vAlign w:val="center"/>
            <w:hideMark/>
          </w:tcPr>
          <w:p w14:paraId="594FC652" w14:textId="77777777" w:rsidR="008779B7" w:rsidRPr="008779B7" w:rsidRDefault="008779B7" w:rsidP="008779B7">
            <w:pPr>
              <w:spacing w:after="0"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kern w:val="0"/>
                <w:sz w:val="24"/>
                <w:szCs w:val="24"/>
                <w:lang w:eastAsia="fr-CH"/>
                <w14:ligatures w14:val="none"/>
              </w:rPr>
              <w:t>Code civil suisse (notion de causalité), jurisprudence</w:t>
            </w:r>
          </w:p>
        </w:tc>
        <w:tc>
          <w:tcPr>
            <w:tcW w:w="0" w:type="auto"/>
            <w:vAlign w:val="center"/>
            <w:hideMark/>
          </w:tcPr>
          <w:p w14:paraId="64780CC1" w14:textId="77777777" w:rsidR="008779B7" w:rsidRPr="008779B7" w:rsidRDefault="008779B7" w:rsidP="008779B7">
            <w:pPr>
              <w:spacing w:after="0"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kern w:val="0"/>
                <w:sz w:val="24"/>
                <w:szCs w:val="24"/>
                <w:lang w:eastAsia="fr-CH"/>
                <w14:ligatures w14:val="none"/>
              </w:rPr>
              <w:t>Difficulté à prouver que la faute est la cause directe exacte du dommage</w:t>
            </w:r>
          </w:p>
        </w:tc>
      </w:tr>
    </w:tbl>
    <w:p w14:paraId="295C5E65" w14:textId="77777777" w:rsidR="008779B7" w:rsidRPr="008779B7" w:rsidRDefault="008779B7" w:rsidP="008779B7">
      <w:pPr>
        <w:spacing w:before="100" w:beforeAutospacing="1" w:after="100" w:afterAutospacing="1" w:line="240" w:lineRule="auto"/>
        <w:outlineLvl w:val="2"/>
        <w:rPr>
          <w:rFonts w:ascii="Times New Roman" w:eastAsia="Times New Roman" w:hAnsi="Times New Roman" w:cs="Times New Roman"/>
          <w:b/>
          <w:bCs/>
          <w:kern w:val="0"/>
          <w:sz w:val="27"/>
          <w:szCs w:val="27"/>
          <w:lang w:eastAsia="fr-CH"/>
          <w14:ligatures w14:val="none"/>
        </w:rPr>
      </w:pPr>
      <w:r w:rsidRPr="008779B7">
        <w:rPr>
          <w:rFonts w:ascii="Times New Roman" w:eastAsia="Times New Roman" w:hAnsi="Times New Roman" w:cs="Times New Roman"/>
          <w:b/>
          <w:bCs/>
          <w:kern w:val="0"/>
          <w:sz w:val="27"/>
          <w:szCs w:val="27"/>
          <w:lang w:eastAsia="fr-CH"/>
          <w14:ligatures w14:val="none"/>
        </w:rPr>
        <w:lastRenderedPageBreak/>
        <w:t>Cas pratique 5.2 : Dommage moral consécutif à une erreur de diagnostic</w:t>
      </w:r>
    </w:p>
    <w:p w14:paraId="579DFE90"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Mise en situation :</w:t>
      </w:r>
      <w:r w:rsidRPr="008779B7">
        <w:rPr>
          <w:rFonts w:ascii="Times New Roman" w:eastAsia="Times New Roman" w:hAnsi="Times New Roman" w:cs="Times New Roman"/>
          <w:kern w:val="0"/>
          <w:sz w:val="24"/>
          <w:szCs w:val="24"/>
          <w:lang w:eastAsia="fr-CH"/>
          <w14:ligatures w14:val="none"/>
        </w:rPr>
        <w:t xml:space="preserve"> </w:t>
      </w:r>
      <w:proofErr w:type="gramStart"/>
      <w:r w:rsidRPr="008779B7">
        <w:rPr>
          <w:rFonts w:ascii="Times New Roman" w:eastAsia="Times New Roman" w:hAnsi="Times New Roman" w:cs="Times New Roman"/>
          <w:kern w:val="0"/>
          <w:sz w:val="24"/>
          <w:szCs w:val="24"/>
          <w:lang w:eastAsia="fr-CH"/>
          <w14:ligatures w14:val="none"/>
        </w:rPr>
        <w:t>Suite à un</w:t>
      </w:r>
      <w:proofErr w:type="gramEnd"/>
      <w:r w:rsidRPr="008779B7">
        <w:rPr>
          <w:rFonts w:ascii="Times New Roman" w:eastAsia="Times New Roman" w:hAnsi="Times New Roman" w:cs="Times New Roman"/>
          <w:kern w:val="0"/>
          <w:sz w:val="24"/>
          <w:szCs w:val="24"/>
          <w:lang w:eastAsia="fr-CH"/>
          <w14:ligatures w14:val="none"/>
        </w:rPr>
        <w:t xml:space="preserve"> diagnostic erroné, un patient subit un stress psychologique intense, menant à une dégradation de sa qualité de vie. Le dommage invoqué est principalement moral, avec peu d’éléments physiques constatables.</w:t>
      </w:r>
    </w:p>
    <w:p w14:paraId="633BCB27"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Réponse argumentée :</w:t>
      </w:r>
      <w:r w:rsidRPr="008779B7">
        <w:rPr>
          <w:rFonts w:ascii="Times New Roman" w:eastAsia="Times New Roman" w:hAnsi="Times New Roman" w:cs="Times New Roman"/>
          <w:kern w:val="0"/>
          <w:sz w:val="24"/>
          <w:szCs w:val="24"/>
          <w:lang w:eastAsia="fr-CH"/>
          <w14:ligatures w14:val="none"/>
        </w:rPr>
        <w:t xml:space="preserve"> Le préjudice moral, bien que difficile à quantifier, est indemnisable si l’erreur de diagnostic est prouvée. Le médecin doit démontrer que le dommage moral découle directement de son manquement.</w:t>
      </w:r>
    </w:p>
    <w:p w14:paraId="07ED8624"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Articles de loi :</w:t>
      </w:r>
    </w:p>
    <w:p w14:paraId="3E3FC6EE" w14:textId="77777777" w:rsidR="008779B7" w:rsidRPr="008779B7" w:rsidRDefault="008779B7" w:rsidP="008779B7">
      <w:pPr>
        <w:numPr>
          <w:ilvl w:val="0"/>
          <w:numId w:val="24"/>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Code civil suisse</w:t>
      </w:r>
      <w:r w:rsidRPr="008779B7">
        <w:rPr>
          <w:rFonts w:ascii="Times New Roman" w:eastAsia="Times New Roman" w:hAnsi="Times New Roman" w:cs="Times New Roman"/>
          <w:kern w:val="0"/>
          <w:sz w:val="24"/>
          <w:szCs w:val="24"/>
          <w:lang w:eastAsia="fr-CH"/>
          <w14:ligatures w14:val="none"/>
        </w:rPr>
        <w:t xml:space="preserve"> (réparation du préjudice moral)</w:t>
      </w:r>
    </w:p>
    <w:p w14:paraId="2FBF669D" w14:textId="77777777" w:rsidR="008779B7" w:rsidRPr="008779B7" w:rsidRDefault="008779B7" w:rsidP="008779B7">
      <w:pPr>
        <w:numPr>
          <w:ilvl w:val="0"/>
          <w:numId w:val="24"/>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Jurisprudence en matière de dommage moral pour faute médicale</w:t>
      </w:r>
    </w:p>
    <w:p w14:paraId="5CD059D1"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Analyse approfondie :</w:t>
      </w:r>
      <w:r w:rsidRPr="008779B7">
        <w:rPr>
          <w:rFonts w:ascii="Times New Roman" w:eastAsia="Times New Roman" w:hAnsi="Times New Roman" w:cs="Times New Roman"/>
          <w:kern w:val="0"/>
          <w:sz w:val="24"/>
          <w:szCs w:val="24"/>
          <w:lang w:eastAsia="fr-CH"/>
          <w14:ligatures w14:val="none"/>
        </w:rPr>
        <w:t xml:space="preserve"> Le dommage moral relève de l’atteinte à la dignité et au bien-être psychologique du patient. La jurisprudence exige toutefois des preuves spécifiques, telles que des témoignages ou des expertises psychologiques.</w:t>
      </w:r>
    </w:p>
    <w:p w14:paraId="40129D63"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Tableau récapitulatif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72"/>
        <w:gridCol w:w="3525"/>
        <w:gridCol w:w="3441"/>
      </w:tblGrid>
      <w:tr w:rsidR="008779B7" w:rsidRPr="008779B7" w14:paraId="1FBFA9AC" w14:textId="77777777" w:rsidTr="008779B7">
        <w:trPr>
          <w:tblHeader/>
          <w:tblCellSpacing w:w="15" w:type="dxa"/>
        </w:trPr>
        <w:tc>
          <w:tcPr>
            <w:tcW w:w="0" w:type="auto"/>
            <w:vAlign w:val="center"/>
            <w:hideMark/>
          </w:tcPr>
          <w:p w14:paraId="252CBF79" w14:textId="77777777" w:rsidR="008779B7" w:rsidRPr="008779B7" w:rsidRDefault="008779B7" w:rsidP="008779B7">
            <w:pPr>
              <w:spacing w:after="0" w:line="240" w:lineRule="auto"/>
              <w:jc w:val="center"/>
              <w:rPr>
                <w:rFonts w:ascii="Times New Roman" w:eastAsia="Times New Roman" w:hAnsi="Times New Roman" w:cs="Times New Roman"/>
                <w:b/>
                <w:bCs/>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Cas pratique</w:t>
            </w:r>
          </w:p>
        </w:tc>
        <w:tc>
          <w:tcPr>
            <w:tcW w:w="0" w:type="auto"/>
            <w:vAlign w:val="center"/>
            <w:hideMark/>
          </w:tcPr>
          <w:p w14:paraId="40BA5D00" w14:textId="77777777" w:rsidR="008779B7" w:rsidRPr="008779B7" w:rsidRDefault="008779B7" w:rsidP="008779B7">
            <w:pPr>
              <w:spacing w:after="0" w:line="240" w:lineRule="auto"/>
              <w:jc w:val="center"/>
              <w:rPr>
                <w:rFonts w:ascii="Times New Roman" w:eastAsia="Times New Roman" w:hAnsi="Times New Roman" w:cs="Times New Roman"/>
                <w:b/>
                <w:bCs/>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Articles de loi</w:t>
            </w:r>
          </w:p>
        </w:tc>
        <w:tc>
          <w:tcPr>
            <w:tcW w:w="0" w:type="auto"/>
            <w:vAlign w:val="center"/>
            <w:hideMark/>
          </w:tcPr>
          <w:p w14:paraId="488E8CE3" w14:textId="77777777" w:rsidR="008779B7" w:rsidRPr="008779B7" w:rsidRDefault="008779B7" w:rsidP="008779B7">
            <w:pPr>
              <w:spacing w:after="0" w:line="240" w:lineRule="auto"/>
              <w:jc w:val="center"/>
              <w:rPr>
                <w:rFonts w:ascii="Times New Roman" w:eastAsia="Times New Roman" w:hAnsi="Times New Roman" w:cs="Times New Roman"/>
                <w:b/>
                <w:bCs/>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Résumé</w:t>
            </w:r>
          </w:p>
        </w:tc>
      </w:tr>
      <w:tr w:rsidR="008779B7" w:rsidRPr="008779B7" w14:paraId="31160676" w14:textId="77777777" w:rsidTr="008779B7">
        <w:trPr>
          <w:tblCellSpacing w:w="15" w:type="dxa"/>
        </w:trPr>
        <w:tc>
          <w:tcPr>
            <w:tcW w:w="0" w:type="auto"/>
            <w:vAlign w:val="center"/>
            <w:hideMark/>
          </w:tcPr>
          <w:p w14:paraId="16DCF0B9" w14:textId="77777777" w:rsidR="008779B7" w:rsidRPr="008779B7" w:rsidRDefault="008779B7" w:rsidP="008779B7">
            <w:pPr>
              <w:spacing w:after="0"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kern w:val="0"/>
                <w:sz w:val="24"/>
                <w:szCs w:val="24"/>
                <w:lang w:eastAsia="fr-CH"/>
                <w14:ligatures w14:val="none"/>
              </w:rPr>
              <w:t xml:space="preserve">5.2 – Dommage moral </w:t>
            </w:r>
            <w:proofErr w:type="gramStart"/>
            <w:r w:rsidRPr="008779B7">
              <w:rPr>
                <w:rFonts w:ascii="Times New Roman" w:eastAsia="Times New Roman" w:hAnsi="Times New Roman" w:cs="Times New Roman"/>
                <w:kern w:val="0"/>
                <w:sz w:val="24"/>
                <w:szCs w:val="24"/>
                <w:lang w:eastAsia="fr-CH"/>
                <w14:ligatures w14:val="none"/>
              </w:rPr>
              <w:t>suite à une</w:t>
            </w:r>
            <w:proofErr w:type="gramEnd"/>
            <w:r w:rsidRPr="008779B7">
              <w:rPr>
                <w:rFonts w:ascii="Times New Roman" w:eastAsia="Times New Roman" w:hAnsi="Times New Roman" w:cs="Times New Roman"/>
                <w:kern w:val="0"/>
                <w:sz w:val="24"/>
                <w:szCs w:val="24"/>
                <w:lang w:eastAsia="fr-CH"/>
                <w14:ligatures w14:val="none"/>
              </w:rPr>
              <w:t xml:space="preserve"> erreur de diagnostic</w:t>
            </w:r>
          </w:p>
        </w:tc>
        <w:tc>
          <w:tcPr>
            <w:tcW w:w="0" w:type="auto"/>
            <w:vAlign w:val="center"/>
            <w:hideMark/>
          </w:tcPr>
          <w:p w14:paraId="350B9664" w14:textId="77777777" w:rsidR="008779B7" w:rsidRPr="008779B7" w:rsidRDefault="008779B7" w:rsidP="008779B7">
            <w:pPr>
              <w:spacing w:after="0"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kern w:val="0"/>
                <w:sz w:val="24"/>
                <w:szCs w:val="24"/>
                <w:lang w:eastAsia="fr-CH"/>
                <w14:ligatures w14:val="none"/>
              </w:rPr>
              <w:t>Code civil suisse (préjudice moral), jurisprudence sur le dommage moral</w:t>
            </w:r>
          </w:p>
        </w:tc>
        <w:tc>
          <w:tcPr>
            <w:tcW w:w="0" w:type="auto"/>
            <w:vAlign w:val="center"/>
            <w:hideMark/>
          </w:tcPr>
          <w:p w14:paraId="1895421D" w14:textId="77777777" w:rsidR="008779B7" w:rsidRPr="008779B7" w:rsidRDefault="008779B7" w:rsidP="008779B7">
            <w:pPr>
              <w:spacing w:after="0"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kern w:val="0"/>
                <w:sz w:val="24"/>
                <w:szCs w:val="24"/>
                <w:lang w:eastAsia="fr-CH"/>
                <w14:ligatures w14:val="none"/>
              </w:rPr>
              <w:t>Dommage intangible, relevant de l’atteinte psychologique du patient</w:t>
            </w:r>
          </w:p>
        </w:tc>
      </w:tr>
    </w:tbl>
    <w:p w14:paraId="3502B1FD" w14:textId="77777777" w:rsidR="008779B7" w:rsidRPr="008779B7" w:rsidRDefault="008779B7" w:rsidP="008779B7">
      <w:pPr>
        <w:spacing w:before="100" w:beforeAutospacing="1" w:after="100" w:afterAutospacing="1" w:line="240" w:lineRule="auto"/>
        <w:outlineLvl w:val="2"/>
        <w:rPr>
          <w:rFonts w:ascii="Times New Roman" w:eastAsia="Times New Roman" w:hAnsi="Times New Roman" w:cs="Times New Roman"/>
          <w:b/>
          <w:bCs/>
          <w:kern w:val="0"/>
          <w:sz w:val="27"/>
          <w:szCs w:val="27"/>
          <w:lang w:eastAsia="fr-CH"/>
          <w14:ligatures w14:val="none"/>
        </w:rPr>
      </w:pPr>
      <w:r w:rsidRPr="008779B7">
        <w:rPr>
          <w:rFonts w:ascii="Times New Roman" w:eastAsia="Times New Roman" w:hAnsi="Times New Roman" w:cs="Times New Roman"/>
          <w:b/>
          <w:bCs/>
          <w:kern w:val="0"/>
          <w:sz w:val="27"/>
          <w:szCs w:val="27"/>
          <w:lang w:eastAsia="fr-CH"/>
          <w14:ligatures w14:val="none"/>
        </w:rPr>
        <w:t>Cas pratique 5.3 : Séquelles physiques durables après une intervention</w:t>
      </w:r>
    </w:p>
    <w:p w14:paraId="4372F793"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Mise en situation :</w:t>
      </w:r>
      <w:r w:rsidRPr="008779B7">
        <w:rPr>
          <w:rFonts w:ascii="Times New Roman" w:eastAsia="Times New Roman" w:hAnsi="Times New Roman" w:cs="Times New Roman"/>
          <w:kern w:val="0"/>
          <w:sz w:val="24"/>
          <w:szCs w:val="24"/>
          <w:lang w:eastAsia="fr-CH"/>
          <w14:ligatures w14:val="none"/>
        </w:rPr>
        <w:t xml:space="preserve"> Un patient subit une intervention chirurgicale dont la complication n’a été corrigée que partiellement, laissant des séquelles physiques permanentes. Le préjudice, manifesté par une limitation fonctionnelle, est clairement identifié.</w:t>
      </w:r>
    </w:p>
    <w:p w14:paraId="2C9092E0"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Réponse argumentée :</w:t>
      </w:r>
      <w:r w:rsidRPr="008779B7">
        <w:rPr>
          <w:rFonts w:ascii="Times New Roman" w:eastAsia="Times New Roman" w:hAnsi="Times New Roman" w:cs="Times New Roman"/>
          <w:kern w:val="0"/>
          <w:sz w:val="24"/>
          <w:szCs w:val="24"/>
          <w:lang w:eastAsia="fr-CH"/>
          <w14:ligatures w14:val="none"/>
        </w:rPr>
        <w:t xml:space="preserve"> Le dommage est établi par la présence de séquelles permanentes. Le lien de causalité entre l’erreur médicale durant l’intervention et les conséquences durables est manifeste.</w:t>
      </w:r>
    </w:p>
    <w:p w14:paraId="415F785C"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Articles de loi :</w:t>
      </w:r>
    </w:p>
    <w:p w14:paraId="06994B39" w14:textId="77777777" w:rsidR="008779B7" w:rsidRPr="008779B7" w:rsidRDefault="008779B7" w:rsidP="008779B7">
      <w:pPr>
        <w:numPr>
          <w:ilvl w:val="0"/>
          <w:numId w:val="25"/>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Code civil suisse</w:t>
      </w:r>
      <w:r w:rsidRPr="008779B7">
        <w:rPr>
          <w:rFonts w:ascii="Times New Roman" w:eastAsia="Times New Roman" w:hAnsi="Times New Roman" w:cs="Times New Roman"/>
          <w:kern w:val="0"/>
          <w:sz w:val="24"/>
          <w:szCs w:val="24"/>
          <w:lang w:eastAsia="fr-CH"/>
          <w14:ligatures w14:val="none"/>
        </w:rPr>
        <w:t xml:space="preserve"> (réparation intégrale du dommage corporel)</w:t>
      </w:r>
    </w:p>
    <w:p w14:paraId="41E78F77" w14:textId="77777777" w:rsidR="008779B7" w:rsidRPr="008779B7" w:rsidRDefault="008779B7" w:rsidP="008779B7">
      <w:pPr>
        <w:numPr>
          <w:ilvl w:val="0"/>
          <w:numId w:val="25"/>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Jurisprudence relative à la réparation des séquelles post-opératoires</w:t>
      </w:r>
    </w:p>
    <w:p w14:paraId="6B77A630"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Analyse approfondie :</w:t>
      </w:r>
      <w:r w:rsidRPr="008779B7">
        <w:rPr>
          <w:rFonts w:ascii="Times New Roman" w:eastAsia="Times New Roman" w:hAnsi="Times New Roman" w:cs="Times New Roman"/>
          <w:kern w:val="0"/>
          <w:sz w:val="24"/>
          <w:szCs w:val="24"/>
          <w:lang w:eastAsia="fr-CH"/>
          <w14:ligatures w14:val="none"/>
        </w:rPr>
        <w:t xml:space="preserve"> Les séquelles physiques durables sont facilement quantifiables par des examens médicaux et expertises. Cela permet d’engager la responsabilité et de poser la base d’une indemnisation correspondant à la perte de qualité de vie.</w:t>
      </w:r>
    </w:p>
    <w:p w14:paraId="682F7719"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Tableau récapitulatif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92"/>
        <w:gridCol w:w="3835"/>
        <w:gridCol w:w="3511"/>
      </w:tblGrid>
      <w:tr w:rsidR="008779B7" w:rsidRPr="008779B7" w14:paraId="01A2E7BB" w14:textId="77777777" w:rsidTr="008779B7">
        <w:trPr>
          <w:tblHeader/>
          <w:tblCellSpacing w:w="15" w:type="dxa"/>
        </w:trPr>
        <w:tc>
          <w:tcPr>
            <w:tcW w:w="0" w:type="auto"/>
            <w:vAlign w:val="center"/>
            <w:hideMark/>
          </w:tcPr>
          <w:p w14:paraId="7FF8D711" w14:textId="77777777" w:rsidR="008779B7" w:rsidRPr="008779B7" w:rsidRDefault="008779B7" w:rsidP="008779B7">
            <w:pPr>
              <w:spacing w:after="0" w:line="240" w:lineRule="auto"/>
              <w:jc w:val="center"/>
              <w:rPr>
                <w:rFonts w:ascii="Times New Roman" w:eastAsia="Times New Roman" w:hAnsi="Times New Roman" w:cs="Times New Roman"/>
                <w:b/>
                <w:bCs/>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Cas pratique</w:t>
            </w:r>
          </w:p>
        </w:tc>
        <w:tc>
          <w:tcPr>
            <w:tcW w:w="0" w:type="auto"/>
            <w:vAlign w:val="center"/>
            <w:hideMark/>
          </w:tcPr>
          <w:p w14:paraId="085F90FA" w14:textId="77777777" w:rsidR="008779B7" w:rsidRPr="008779B7" w:rsidRDefault="008779B7" w:rsidP="008779B7">
            <w:pPr>
              <w:spacing w:after="0" w:line="240" w:lineRule="auto"/>
              <w:jc w:val="center"/>
              <w:rPr>
                <w:rFonts w:ascii="Times New Roman" w:eastAsia="Times New Roman" w:hAnsi="Times New Roman" w:cs="Times New Roman"/>
                <w:b/>
                <w:bCs/>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Articles de loi</w:t>
            </w:r>
          </w:p>
        </w:tc>
        <w:tc>
          <w:tcPr>
            <w:tcW w:w="0" w:type="auto"/>
            <w:vAlign w:val="center"/>
            <w:hideMark/>
          </w:tcPr>
          <w:p w14:paraId="55498C94" w14:textId="77777777" w:rsidR="008779B7" w:rsidRPr="008779B7" w:rsidRDefault="008779B7" w:rsidP="008779B7">
            <w:pPr>
              <w:spacing w:after="0" w:line="240" w:lineRule="auto"/>
              <w:jc w:val="center"/>
              <w:rPr>
                <w:rFonts w:ascii="Times New Roman" w:eastAsia="Times New Roman" w:hAnsi="Times New Roman" w:cs="Times New Roman"/>
                <w:b/>
                <w:bCs/>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Résumé</w:t>
            </w:r>
          </w:p>
        </w:tc>
      </w:tr>
      <w:tr w:rsidR="008779B7" w:rsidRPr="008779B7" w14:paraId="37098EC0" w14:textId="77777777" w:rsidTr="008779B7">
        <w:trPr>
          <w:tblCellSpacing w:w="15" w:type="dxa"/>
        </w:trPr>
        <w:tc>
          <w:tcPr>
            <w:tcW w:w="0" w:type="auto"/>
            <w:vAlign w:val="center"/>
            <w:hideMark/>
          </w:tcPr>
          <w:p w14:paraId="61A09BDE" w14:textId="77777777" w:rsidR="008779B7" w:rsidRPr="008779B7" w:rsidRDefault="008779B7" w:rsidP="008779B7">
            <w:pPr>
              <w:spacing w:after="0"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kern w:val="0"/>
                <w:sz w:val="24"/>
                <w:szCs w:val="24"/>
                <w:lang w:eastAsia="fr-CH"/>
                <w14:ligatures w14:val="none"/>
              </w:rPr>
              <w:t>5.3 – Séquelles physiques durables</w:t>
            </w:r>
          </w:p>
        </w:tc>
        <w:tc>
          <w:tcPr>
            <w:tcW w:w="0" w:type="auto"/>
            <w:vAlign w:val="center"/>
            <w:hideMark/>
          </w:tcPr>
          <w:p w14:paraId="6988708F" w14:textId="77777777" w:rsidR="008779B7" w:rsidRPr="008779B7" w:rsidRDefault="008779B7" w:rsidP="008779B7">
            <w:pPr>
              <w:spacing w:after="0"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kern w:val="0"/>
                <w:sz w:val="24"/>
                <w:szCs w:val="24"/>
                <w:lang w:eastAsia="fr-CH"/>
                <w14:ligatures w14:val="none"/>
              </w:rPr>
              <w:t>Code civil suisse (dommage corporel), jurisprudence médicale</w:t>
            </w:r>
          </w:p>
        </w:tc>
        <w:tc>
          <w:tcPr>
            <w:tcW w:w="0" w:type="auto"/>
            <w:vAlign w:val="center"/>
            <w:hideMark/>
          </w:tcPr>
          <w:p w14:paraId="32530C3F" w14:textId="77777777" w:rsidR="008779B7" w:rsidRPr="008779B7" w:rsidRDefault="008779B7" w:rsidP="008779B7">
            <w:pPr>
              <w:spacing w:after="0"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kern w:val="0"/>
                <w:sz w:val="24"/>
                <w:szCs w:val="24"/>
                <w:lang w:eastAsia="fr-CH"/>
                <w14:ligatures w14:val="none"/>
              </w:rPr>
              <w:t>Séquelles permanentes justifiant une réparation intégrale</w:t>
            </w:r>
          </w:p>
        </w:tc>
      </w:tr>
    </w:tbl>
    <w:p w14:paraId="04B628A1" w14:textId="77777777" w:rsidR="008779B7" w:rsidRPr="008779B7" w:rsidRDefault="008779B7" w:rsidP="008779B7">
      <w:pPr>
        <w:spacing w:before="100" w:beforeAutospacing="1" w:after="100" w:afterAutospacing="1" w:line="240" w:lineRule="auto"/>
        <w:outlineLvl w:val="2"/>
        <w:rPr>
          <w:rFonts w:ascii="Times New Roman" w:eastAsia="Times New Roman" w:hAnsi="Times New Roman" w:cs="Times New Roman"/>
          <w:b/>
          <w:bCs/>
          <w:kern w:val="0"/>
          <w:sz w:val="27"/>
          <w:szCs w:val="27"/>
          <w:lang w:eastAsia="fr-CH"/>
          <w14:ligatures w14:val="none"/>
        </w:rPr>
      </w:pPr>
      <w:r w:rsidRPr="008779B7">
        <w:rPr>
          <w:rFonts w:ascii="Times New Roman" w:eastAsia="Times New Roman" w:hAnsi="Times New Roman" w:cs="Times New Roman"/>
          <w:b/>
          <w:bCs/>
          <w:kern w:val="0"/>
          <w:sz w:val="27"/>
          <w:szCs w:val="27"/>
          <w:lang w:eastAsia="fr-CH"/>
          <w14:ligatures w14:val="none"/>
        </w:rPr>
        <w:t>Cas pratique 5.4 : Dommage matériel lié à une défaillance d’équipement</w:t>
      </w:r>
    </w:p>
    <w:p w14:paraId="5B4169E6"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lastRenderedPageBreak/>
        <w:t>Mise en situation :</w:t>
      </w:r>
      <w:r w:rsidRPr="008779B7">
        <w:rPr>
          <w:rFonts w:ascii="Times New Roman" w:eastAsia="Times New Roman" w:hAnsi="Times New Roman" w:cs="Times New Roman"/>
          <w:kern w:val="0"/>
          <w:sz w:val="24"/>
          <w:szCs w:val="24"/>
          <w:lang w:eastAsia="fr-CH"/>
          <w14:ligatures w14:val="none"/>
        </w:rPr>
        <w:t xml:space="preserve"> Lors d’un acte chirurgical, une défaillance d’un équipement médical provoque une complication, nécessitant une intervention corrective. Le dommage matériel se traduit par des frais supplémentaires, des hospitalisations prolongées et des pertes économiques.</w:t>
      </w:r>
    </w:p>
    <w:p w14:paraId="77888C58"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Réponse argumentée :</w:t>
      </w:r>
      <w:r w:rsidRPr="008779B7">
        <w:rPr>
          <w:rFonts w:ascii="Times New Roman" w:eastAsia="Times New Roman" w:hAnsi="Times New Roman" w:cs="Times New Roman"/>
          <w:kern w:val="0"/>
          <w:sz w:val="24"/>
          <w:szCs w:val="24"/>
          <w:lang w:eastAsia="fr-CH"/>
          <w14:ligatures w14:val="none"/>
        </w:rPr>
        <w:t xml:space="preserve"> La défaillance technique ayant impacté la sécurité du patient conduit à la reconnaissance d’un dommage matériel réparateur par la responsabilité civile du médecin et de l’établissement.</w:t>
      </w:r>
    </w:p>
    <w:p w14:paraId="4C7D0C78"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Articles de loi :</w:t>
      </w:r>
    </w:p>
    <w:p w14:paraId="74544536" w14:textId="77777777" w:rsidR="008779B7" w:rsidRPr="008779B7" w:rsidRDefault="008779B7" w:rsidP="008779B7">
      <w:pPr>
        <w:numPr>
          <w:ilvl w:val="0"/>
          <w:numId w:val="26"/>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Code civil suisse</w:t>
      </w:r>
      <w:r w:rsidRPr="008779B7">
        <w:rPr>
          <w:rFonts w:ascii="Times New Roman" w:eastAsia="Times New Roman" w:hAnsi="Times New Roman" w:cs="Times New Roman"/>
          <w:kern w:val="0"/>
          <w:sz w:val="24"/>
          <w:szCs w:val="24"/>
          <w:lang w:eastAsia="fr-CH"/>
          <w14:ligatures w14:val="none"/>
        </w:rPr>
        <w:t xml:space="preserve"> (réparation du dommage matériel)</w:t>
      </w:r>
    </w:p>
    <w:p w14:paraId="5FF01EDA" w14:textId="77777777" w:rsidR="008779B7" w:rsidRPr="008779B7" w:rsidRDefault="008779B7" w:rsidP="008779B7">
      <w:pPr>
        <w:numPr>
          <w:ilvl w:val="0"/>
          <w:numId w:val="26"/>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Normes de sécurité applicables aux équipements médicaux</w:t>
      </w:r>
    </w:p>
    <w:p w14:paraId="19DC8350"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Analyse approfondie :</w:t>
      </w:r>
      <w:r w:rsidRPr="008779B7">
        <w:rPr>
          <w:rFonts w:ascii="Times New Roman" w:eastAsia="Times New Roman" w:hAnsi="Times New Roman" w:cs="Times New Roman"/>
          <w:kern w:val="0"/>
          <w:sz w:val="24"/>
          <w:szCs w:val="24"/>
          <w:lang w:eastAsia="fr-CH"/>
          <w14:ligatures w14:val="none"/>
        </w:rPr>
        <w:t xml:space="preserve"> La preuve d’un dommage matériel repose sur la présentation de factures, devis et expertises techniques. La causalité entre la défaillance et le préjudice économique est alors établie.</w:t>
      </w:r>
    </w:p>
    <w:p w14:paraId="3BA6600A"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Tableau récapitulatif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96"/>
        <w:gridCol w:w="3925"/>
        <w:gridCol w:w="3917"/>
      </w:tblGrid>
      <w:tr w:rsidR="008779B7" w:rsidRPr="008779B7" w14:paraId="57905606" w14:textId="77777777" w:rsidTr="008779B7">
        <w:trPr>
          <w:tblHeader/>
          <w:tblCellSpacing w:w="15" w:type="dxa"/>
        </w:trPr>
        <w:tc>
          <w:tcPr>
            <w:tcW w:w="0" w:type="auto"/>
            <w:vAlign w:val="center"/>
            <w:hideMark/>
          </w:tcPr>
          <w:p w14:paraId="78BF4083" w14:textId="77777777" w:rsidR="008779B7" w:rsidRPr="008779B7" w:rsidRDefault="008779B7" w:rsidP="008779B7">
            <w:pPr>
              <w:spacing w:after="0" w:line="240" w:lineRule="auto"/>
              <w:jc w:val="center"/>
              <w:rPr>
                <w:rFonts w:ascii="Times New Roman" w:eastAsia="Times New Roman" w:hAnsi="Times New Roman" w:cs="Times New Roman"/>
                <w:b/>
                <w:bCs/>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Cas pratique</w:t>
            </w:r>
          </w:p>
        </w:tc>
        <w:tc>
          <w:tcPr>
            <w:tcW w:w="0" w:type="auto"/>
            <w:vAlign w:val="center"/>
            <w:hideMark/>
          </w:tcPr>
          <w:p w14:paraId="5C1ADC79" w14:textId="77777777" w:rsidR="008779B7" w:rsidRPr="008779B7" w:rsidRDefault="008779B7" w:rsidP="008779B7">
            <w:pPr>
              <w:spacing w:after="0" w:line="240" w:lineRule="auto"/>
              <w:jc w:val="center"/>
              <w:rPr>
                <w:rFonts w:ascii="Times New Roman" w:eastAsia="Times New Roman" w:hAnsi="Times New Roman" w:cs="Times New Roman"/>
                <w:b/>
                <w:bCs/>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Articles de loi</w:t>
            </w:r>
          </w:p>
        </w:tc>
        <w:tc>
          <w:tcPr>
            <w:tcW w:w="0" w:type="auto"/>
            <w:vAlign w:val="center"/>
            <w:hideMark/>
          </w:tcPr>
          <w:p w14:paraId="0D88E39A" w14:textId="77777777" w:rsidR="008779B7" w:rsidRPr="008779B7" w:rsidRDefault="008779B7" w:rsidP="008779B7">
            <w:pPr>
              <w:spacing w:after="0" w:line="240" w:lineRule="auto"/>
              <w:jc w:val="center"/>
              <w:rPr>
                <w:rFonts w:ascii="Times New Roman" w:eastAsia="Times New Roman" w:hAnsi="Times New Roman" w:cs="Times New Roman"/>
                <w:b/>
                <w:bCs/>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Résumé</w:t>
            </w:r>
          </w:p>
        </w:tc>
      </w:tr>
      <w:tr w:rsidR="008779B7" w:rsidRPr="008779B7" w14:paraId="719DBA2D" w14:textId="77777777" w:rsidTr="008779B7">
        <w:trPr>
          <w:tblCellSpacing w:w="15" w:type="dxa"/>
        </w:trPr>
        <w:tc>
          <w:tcPr>
            <w:tcW w:w="0" w:type="auto"/>
            <w:vAlign w:val="center"/>
            <w:hideMark/>
          </w:tcPr>
          <w:p w14:paraId="5740FE2B" w14:textId="77777777" w:rsidR="008779B7" w:rsidRPr="008779B7" w:rsidRDefault="008779B7" w:rsidP="008779B7">
            <w:pPr>
              <w:spacing w:after="0"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kern w:val="0"/>
                <w:sz w:val="24"/>
                <w:szCs w:val="24"/>
                <w:lang w:eastAsia="fr-CH"/>
                <w14:ligatures w14:val="none"/>
              </w:rPr>
              <w:t>5.4 – Dommage matériel</w:t>
            </w:r>
          </w:p>
        </w:tc>
        <w:tc>
          <w:tcPr>
            <w:tcW w:w="0" w:type="auto"/>
            <w:vAlign w:val="center"/>
            <w:hideMark/>
          </w:tcPr>
          <w:p w14:paraId="7363973A" w14:textId="77777777" w:rsidR="008779B7" w:rsidRPr="008779B7" w:rsidRDefault="008779B7" w:rsidP="008779B7">
            <w:pPr>
              <w:spacing w:after="0"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kern w:val="0"/>
                <w:sz w:val="24"/>
                <w:szCs w:val="24"/>
                <w:lang w:eastAsia="fr-CH"/>
                <w14:ligatures w14:val="none"/>
              </w:rPr>
              <w:t>Code civil suisse (dommage matériel), normes de sécurité médicale</w:t>
            </w:r>
          </w:p>
        </w:tc>
        <w:tc>
          <w:tcPr>
            <w:tcW w:w="0" w:type="auto"/>
            <w:vAlign w:val="center"/>
            <w:hideMark/>
          </w:tcPr>
          <w:p w14:paraId="4EAD8395" w14:textId="77777777" w:rsidR="008779B7" w:rsidRPr="008779B7" w:rsidRDefault="008779B7" w:rsidP="008779B7">
            <w:pPr>
              <w:spacing w:after="0"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kern w:val="0"/>
                <w:sz w:val="24"/>
                <w:szCs w:val="24"/>
                <w:lang w:eastAsia="fr-CH"/>
                <w14:ligatures w14:val="none"/>
              </w:rPr>
              <w:t>Preuves économiques et techniques confirment le dommage subi</w:t>
            </w:r>
          </w:p>
        </w:tc>
      </w:tr>
    </w:tbl>
    <w:p w14:paraId="4AFC4263" w14:textId="77777777" w:rsidR="008779B7" w:rsidRPr="008779B7" w:rsidRDefault="008779B7" w:rsidP="008779B7">
      <w:pPr>
        <w:spacing w:before="100" w:beforeAutospacing="1" w:after="100" w:afterAutospacing="1" w:line="240" w:lineRule="auto"/>
        <w:outlineLvl w:val="2"/>
        <w:rPr>
          <w:rFonts w:ascii="Times New Roman" w:eastAsia="Times New Roman" w:hAnsi="Times New Roman" w:cs="Times New Roman"/>
          <w:b/>
          <w:bCs/>
          <w:kern w:val="0"/>
          <w:sz w:val="27"/>
          <w:szCs w:val="27"/>
          <w:lang w:eastAsia="fr-CH"/>
          <w14:ligatures w14:val="none"/>
        </w:rPr>
      </w:pPr>
      <w:r w:rsidRPr="008779B7">
        <w:rPr>
          <w:rFonts w:ascii="Times New Roman" w:eastAsia="Times New Roman" w:hAnsi="Times New Roman" w:cs="Times New Roman"/>
          <w:b/>
          <w:bCs/>
          <w:kern w:val="0"/>
          <w:sz w:val="27"/>
          <w:szCs w:val="27"/>
          <w:lang w:eastAsia="fr-CH"/>
          <w14:ligatures w14:val="none"/>
        </w:rPr>
        <w:t>Cas pratique 5.5 : Préjudice psychologique et perte de qualité de vie</w:t>
      </w:r>
    </w:p>
    <w:p w14:paraId="4A8BBB7D"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Mise en situation :</w:t>
      </w:r>
      <w:r w:rsidRPr="008779B7">
        <w:rPr>
          <w:rFonts w:ascii="Times New Roman" w:eastAsia="Times New Roman" w:hAnsi="Times New Roman" w:cs="Times New Roman"/>
          <w:kern w:val="0"/>
          <w:sz w:val="24"/>
          <w:szCs w:val="24"/>
          <w:lang w:eastAsia="fr-CH"/>
          <w14:ligatures w14:val="none"/>
        </w:rPr>
        <w:t xml:space="preserve"> Après une intervention mal conduite, un patient constate non seulement des séquelles physiques légères mais surtout un profond bouleversement psychologique qui affecte sa vie professionnelle et personnelle.</w:t>
      </w:r>
    </w:p>
    <w:p w14:paraId="6DA476FC"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Réponse argumentée :</w:t>
      </w:r>
      <w:r w:rsidRPr="008779B7">
        <w:rPr>
          <w:rFonts w:ascii="Times New Roman" w:eastAsia="Times New Roman" w:hAnsi="Times New Roman" w:cs="Times New Roman"/>
          <w:kern w:val="0"/>
          <w:sz w:val="24"/>
          <w:szCs w:val="24"/>
          <w:lang w:eastAsia="fr-CH"/>
          <w14:ligatures w14:val="none"/>
        </w:rPr>
        <w:t xml:space="preserve"> Le préjudice, ici à double volet (corporel et psychologique), doit être réparé intégralement. La reconnaissance de la perte de qualité de vie permet d’ouvrir une indemnisation globale.</w:t>
      </w:r>
    </w:p>
    <w:p w14:paraId="597593D0"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Articles de loi :</w:t>
      </w:r>
    </w:p>
    <w:p w14:paraId="0EB46C8E" w14:textId="77777777" w:rsidR="008779B7" w:rsidRPr="008779B7" w:rsidRDefault="008779B7" w:rsidP="008779B7">
      <w:pPr>
        <w:numPr>
          <w:ilvl w:val="0"/>
          <w:numId w:val="27"/>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Code civil suisse</w:t>
      </w:r>
      <w:r w:rsidRPr="008779B7">
        <w:rPr>
          <w:rFonts w:ascii="Times New Roman" w:eastAsia="Times New Roman" w:hAnsi="Times New Roman" w:cs="Times New Roman"/>
          <w:kern w:val="0"/>
          <w:sz w:val="24"/>
          <w:szCs w:val="24"/>
          <w:lang w:eastAsia="fr-CH"/>
          <w14:ligatures w14:val="none"/>
        </w:rPr>
        <w:t xml:space="preserve"> (réparation du préjudice global incluant le préjudice psychologique)</w:t>
      </w:r>
    </w:p>
    <w:p w14:paraId="3AB53CD5" w14:textId="77777777" w:rsidR="008779B7" w:rsidRPr="008779B7" w:rsidRDefault="008779B7" w:rsidP="008779B7">
      <w:pPr>
        <w:numPr>
          <w:ilvl w:val="0"/>
          <w:numId w:val="27"/>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Jurisprudence en matière de dommage mixte</w:t>
      </w:r>
    </w:p>
    <w:p w14:paraId="55EB8886"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Analyse approfondie :</w:t>
      </w:r>
      <w:r w:rsidRPr="008779B7">
        <w:rPr>
          <w:rFonts w:ascii="Times New Roman" w:eastAsia="Times New Roman" w:hAnsi="Times New Roman" w:cs="Times New Roman"/>
          <w:kern w:val="0"/>
          <w:sz w:val="24"/>
          <w:szCs w:val="24"/>
          <w:lang w:eastAsia="fr-CH"/>
          <w14:ligatures w14:val="none"/>
        </w:rPr>
        <w:t xml:space="preserve"> La double nature du préjudice impose une évaluation fine à l’aide d’expertises médicales et psychologiques. La réparation vise à compenser non seulement le dommage physique, mais aussi la détérioration du bien-être mental.</w:t>
      </w:r>
    </w:p>
    <w:p w14:paraId="47E17204"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Tableau récapitulatif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82"/>
        <w:gridCol w:w="3132"/>
        <w:gridCol w:w="3724"/>
      </w:tblGrid>
      <w:tr w:rsidR="008779B7" w:rsidRPr="008779B7" w14:paraId="04D034B5" w14:textId="77777777" w:rsidTr="008779B7">
        <w:trPr>
          <w:tblHeader/>
          <w:tblCellSpacing w:w="15" w:type="dxa"/>
        </w:trPr>
        <w:tc>
          <w:tcPr>
            <w:tcW w:w="0" w:type="auto"/>
            <w:vAlign w:val="center"/>
            <w:hideMark/>
          </w:tcPr>
          <w:p w14:paraId="2EDFEE87" w14:textId="77777777" w:rsidR="008779B7" w:rsidRPr="008779B7" w:rsidRDefault="008779B7" w:rsidP="008779B7">
            <w:pPr>
              <w:spacing w:after="0" w:line="240" w:lineRule="auto"/>
              <w:jc w:val="center"/>
              <w:rPr>
                <w:rFonts w:ascii="Times New Roman" w:eastAsia="Times New Roman" w:hAnsi="Times New Roman" w:cs="Times New Roman"/>
                <w:b/>
                <w:bCs/>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Cas pratique</w:t>
            </w:r>
          </w:p>
        </w:tc>
        <w:tc>
          <w:tcPr>
            <w:tcW w:w="0" w:type="auto"/>
            <w:vAlign w:val="center"/>
            <w:hideMark/>
          </w:tcPr>
          <w:p w14:paraId="5FCE7A2C" w14:textId="77777777" w:rsidR="008779B7" w:rsidRPr="008779B7" w:rsidRDefault="008779B7" w:rsidP="008779B7">
            <w:pPr>
              <w:spacing w:after="0" w:line="240" w:lineRule="auto"/>
              <w:jc w:val="center"/>
              <w:rPr>
                <w:rFonts w:ascii="Times New Roman" w:eastAsia="Times New Roman" w:hAnsi="Times New Roman" w:cs="Times New Roman"/>
                <w:b/>
                <w:bCs/>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Articles de loi</w:t>
            </w:r>
          </w:p>
        </w:tc>
        <w:tc>
          <w:tcPr>
            <w:tcW w:w="0" w:type="auto"/>
            <w:vAlign w:val="center"/>
            <w:hideMark/>
          </w:tcPr>
          <w:p w14:paraId="0F31CE9E" w14:textId="77777777" w:rsidR="008779B7" w:rsidRPr="008779B7" w:rsidRDefault="008779B7" w:rsidP="008779B7">
            <w:pPr>
              <w:spacing w:after="0" w:line="240" w:lineRule="auto"/>
              <w:jc w:val="center"/>
              <w:rPr>
                <w:rFonts w:ascii="Times New Roman" w:eastAsia="Times New Roman" w:hAnsi="Times New Roman" w:cs="Times New Roman"/>
                <w:b/>
                <w:bCs/>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Résumé</w:t>
            </w:r>
          </w:p>
        </w:tc>
      </w:tr>
      <w:tr w:rsidR="008779B7" w:rsidRPr="008779B7" w14:paraId="602CD5DF" w14:textId="77777777" w:rsidTr="008779B7">
        <w:trPr>
          <w:tblCellSpacing w:w="15" w:type="dxa"/>
        </w:trPr>
        <w:tc>
          <w:tcPr>
            <w:tcW w:w="0" w:type="auto"/>
            <w:vAlign w:val="center"/>
            <w:hideMark/>
          </w:tcPr>
          <w:p w14:paraId="4282A4CC" w14:textId="77777777" w:rsidR="008779B7" w:rsidRPr="008779B7" w:rsidRDefault="008779B7" w:rsidP="008779B7">
            <w:pPr>
              <w:spacing w:after="0"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kern w:val="0"/>
                <w:sz w:val="24"/>
                <w:szCs w:val="24"/>
                <w:lang w:eastAsia="fr-CH"/>
                <w14:ligatures w14:val="none"/>
              </w:rPr>
              <w:t>5.5 – Préjudice psychologique et perte de qualité de vie</w:t>
            </w:r>
          </w:p>
        </w:tc>
        <w:tc>
          <w:tcPr>
            <w:tcW w:w="0" w:type="auto"/>
            <w:vAlign w:val="center"/>
            <w:hideMark/>
          </w:tcPr>
          <w:p w14:paraId="28F903EC" w14:textId="77777777" w:rsidR="008779B7" w:rsidRPr="008779B7" w:rsidRDefault="008779B7" w:rsidP="008779B7">
            <w:pPr>
              <w:spacing w:after="0"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kern w:val="0"/>
                <w:sz w:val="24"/>
                <w:szCs w:val="24"/>
                <w:lang w:eastAsia="fr-CH"/>
                <w14:ligatures w14:val="none"/>
              </w:rPr>
              <w:t>Code civil suisse (préjudice global), jurisprudence (dommage mixte)</w:t>
            </w:r>
          </w:p>
        </w:tc>
        <w:tc>
          <w:tcPr>
            <w:tcW w:w="0" w:type="auto"/>
            <w:vAlign w:val="center"/>
            <w:hideMark/>
          </w:tcPr>
          <w:p w14:paraId="74183818" w14:textId="77777777" w:rsidR="008779B7" w:rsidRPr="008779B7" w:rsidRDefault="008779B7" w:rsidP="008779B7">
            <w:pPr>
              <w:spacing w:after="0"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kern w:val="0"/>
                <w:sz w:val="24"/>
                <w:szCs w:val="24"/>
                <w:lang w:eastAsia="fr-CH"/>
                <w14:ligatures w14:val="none"/>
              </w:rPr>
              <w:t>Dommage corporel et psychologique combiné nécessitant une indemnisation globale</w:t>
            </w:r>
          </w:p>
        </w:tc>
      </w:tr>
    </w:tbl>
    <w:p w14:paraId="3315AE3E" w14:textId="77777777" w:rsidR="008779B7" w:rsidRPr="008779B7" w:rsidRDefault="008779B7" w:rsidP="008779B7">
      <w:pPr>
        <w:spacing w:before="100" w:beforeAutospacing="1" w:after="100" w:afterAutospacing="1" w:line="240" w:lineRule="auto"/>
        <w:outlineLvl w:val="1"/>
        <w:rPr>
          <w:rFonts w:ascii="Times New Roman" w:eastAsia="Times New Roman" w:hAnsi="Times New Roman" w:cs="Times New Roman"/>
          <w:b/>
          <w:bCs/>
          <w:kern w:val="0"/>
          <w:sz w:val="36"/>
          <w:szCs w:val="36"/>
          <w:lang w:eastAsia="fr-CH"/>
          <w14:ligatures w14:val="none"/>
        </w:rPr>
      </w:pPr>
      <w:r w:rsidRPr="008779B7">
        <w:rPr>
          <w:rFonts w:ascii="Times New Roman" w:eastAsia="Times New Roman" w:hAnsi="Times New Roman" w:cs="Times New Roman"/>
          <w:b/>
          <w:bCs/>
          <w:kern w:val="0"/>
          <w:sz w:val="36"/>
          <w:szCs w:val="36"/>
          <w:lang w:eastAsia="fr-CH"/>
          <w14:ligatures w14:val="none"/>
        </w:rPr>
        <w:t>VI – Le préjudice</w:t>
      </w:r>
    </w:p>
    <w:p w14:paraId="61CA5F62" w14:textId="77777777" w:rsidR="008779B7" w:rsidRPr="008779B7" w:rsidRDefault="008779B7" w:rsidP="008779B7">
      <w:pPr>
        <w:spacing w:before="100" w:beforeAutospacing="1" w:after="100" w:afterAutospacing="1" w:line="240" w:lineRule="auto"/>
        <w:outlineLvl w:val="2"/>
        <w:rPr>
          <w:rFonts w:ascii="Times New Roman" w:eastAsia="Times New Roman" w:hAnsi="Times New Roman" w:cs="Times New Roman"/>
          <w:b/>
          <w:bCs/>
          <w:kern w:val="0"/>
          <w:sz w:val="27"/>
          <w:szCs w:val="27"/>
          <w:lang w:eastAsia="fr-CH"/>
          <w14:ligatures w14:val="none"/>
        </w:rPr>
      </w:pPr>
      <w:r w:rsidRPr="008779B7">
        <w:rPr>
          <w:rFonts w:ascii="Times New Roman" w:eastAsia="Times New Roman" w:hAnsi="Times New Roman" w:cs="Times New Roman"/>
          <w:b/>
          <w:bCs/>
          <w:kern w:val="0"/>
          <w:sz w:val="27"/>
          <w:szCs w:val="27"/>
          <w:lang w:eastAsia="fr-CH"/>
          <w14:ligatures w14:val="none"/>
        </w:rPr>
        <w:lastRenderedPageBreak/>
        <w:t xml:space="preserve">Cas pratique 6.1 : Préjudice corporel à court terme </w:t>
      </w:r>
      <w:proofErr w:type="gramStart"/>
      <w:r w:rsidRPr="008779B7">
        <w:rPr>
          <w:rFonts w:ascii="Times New Roman" w:eastAsia="Times New Roman" w:hAnsi="Times New Roman" w:cs="Times New Roman"/>
          <w:b/>
          <w:bCs/>
          <w:kern w:val="0"/>
          <w:sz w:val="27"/>
          <w:szCs w:val="27"/>
          <w:lang w:eastAsia="fr-CH"/>
          <w14:ligatures w14:val="none"/>
        </w:rPr>
        <w:t>suite à une</w:t>
      </w:r>
      <w:proofErr w:type="gramEnd"/>
      <w:r w:rsidRPr="008779B7">
        <w:rPr>
          <w:rFonts w:ascii="Times New Roman" w:eastAsia="Times New Roman" w:hAnsi="Times New Roman" w:cs="Times New Roman"/>
          <w:b/>
          <w:bCs/>
          <w:kern w:val="0"/>
          <w:sz w:val="27"/>
          <w:szCs w:val="27"/>
          <w:lang w:eastAsia="fr-CH"/>
          <w14:ligatures w14:val="none"/>
        </w:rPr>
        <w:t xml:space="preserve"> erreur de médication</w:t>
      </w:r>
    </w:p>
    <w:p w14:paraId="2BBA0ACB"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Mise en situation :</w:t>
      </w:r>
      <w:r w:rsidRPr="008779B7">
        <w:rPr>
          <w:rFonts w:ascii="Times New Roman" w:eastAsia="Times New Roman" w:hAnsi="Times New Roman" w:cs="Times New Roman"/>
          <w:kern w:val="0"/>
          <w:sz w:val="24"/>
          <w:szCs w:val="24"/>
          <w:lang w:eastAsia="fr-CH"/>
          <w14:ligatures w14:val="none"/>
        </w:rPr>
        <w:t xml:space="preserve"> Un patient reçoit une dose excessive d’un médicament par erreur. Ce surdosage entraîne des symptômes sévères mais transitoires, nécessitant une hospitalisation de courte durée.</w:t>
      </w:r>
    </w:p>
    <w:p w14:paraId="1B3CDF92"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Réponse argumentée :</w:t>
      </w:r>
      <w:r w:rsidRPr="008779B7">
        <w:rPr>
          <w:rFonts w:ascii="Times New Roman" w:eastAsia="Times New Roman" w:hAnsi="Times New Roman" w:cs="Times New Roman"/>
          <w:kern w:val="0"/>
          <w:sz w:val="24"/>
          <w:szCs w:val="24"/>
          <w:lang w:eastAsia="fr-CH"/>
          <w14:ligatures w14:val="none"/>
        </w:rPr>
        <w:t xml:space="preserve"> Le préjudice corporel, même s’il est de courte durée, est indemnisable dès lors que la faute médicale est prouvée. La responsabilité est engagée pour compenser la souffrance physique et la privation temporaire de bien-être.</w:t>
      </w:r>
    </w:p>
    <w:p w14:paraId="0959A501"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Articles de loi :</w:t>
      </w:r>
    </w:p>
    <w:p w14:paraId="4F1BDD59" w14:textId="77777777" w:rsidR="008779B7" w:rsidRPr="008779B7" w:rsidRDefault="008779B7" w:rsidP="008779B7">
      <w:pPr>
        <w:numPr>
          <w:ilvl w:val="0"/>
          <w:numId w:val="28"/>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Code civil suisse</w:t>
      </w:r>
      <w:r w:rsidRPr="008779B7">
        <w:rPr>
          <w:rFonts w:ascii="Times New Roman" w:eastAsia="Times New Roman" w:hAnsi="Times New Roman" w:cs="Times New Roman"/>
          <w:kern w:val="0"/>
          <w:sz w:val="24"/>
          <w:szCs w:val="24"/>
          <w:lang w:eastAsia="fr-CH"/>
          <w14:ligatures w14:val="none"/>
        </w:rPr>
        <w:t xml:space="preserve"> (réparation du dommage corporel)</w:t>
      </w:r>
    </w:p>
    <w:p w14:paraId="7B076BD5" w14:textId="77777777" w:rsidR="008779B7" w:rsidRPr="008779B7" w:rsidRDefault="008779B7" w:rsidP="008779B7">
      <w:pPr>
        <w:numPr>
          <w:ilvl w:val="0"/>
          <w:numId w:val="28"/>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Code de déontologie FMH</w:t>
      </w:r>
    </w:p>
    <w:p w14:paraId="66C0B5AD"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Analyse approfondie :</w:t>
      </w:r>
      <w:r w:rsidRPr="008779B7">
        <w:rPr>
          <w:rFonts w:ascii="Times New Roman" w:eastAsia="Times New Roman" w:hAnsi="Times New Roman" w:cs="Times New Roman"/>
          <w:kern w:val="0"/>
          <w:sz w:val="24"/>
          <w:szCs w:val="24"/>
          <w:lang w:eastAsia="fr-CH"/>
          <w14:ligatures w14:val="none"/>
        </w:rPr>
        <w:t xml:space="preserve"> La correction du surdosage impose une reconnaissance du préjudice, sans minimiser l’impact sur la santé du patient. Le caractère temporaire n’en réduit pas la légitimité à indemniser.</w:t>
      </w:r>
    </w:p>
    <w:p w14:paraId="0A068BE3"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Tableau récapitulatif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26"/>
        <w:gridCol w:w="3909"/>
        <w:gridCol w:w="3503"/>
      </w:tblGrid>
      <w:tr w:rsidR="008779B7" w:rsidRPr="008779B7" w14:paraId="3170020D" w14:textId="77777777" w:rsidTr="008779B7">
        <w:trPr>
          <w:tblHeader/>
          <w:tblCellSpacing w:w="15" w:type="dxa"/>
        </w:trPr>
        <w:tc>
          <w:tcPr>
            <w:tcW w:w="0" w:type="auto"/>
            <w:vAlign w:val="center"/>
            <w:hideMark/>
          </w:tcPr>
          <w:p w14:paraId="3831355E" w14:textId="77777777" w:rsidR="008779B7" w:rsidRPr="008779B7" w:rsidRDefault="008779B7" w:rsidP="008779B7">
            <w:pPr>
              <w:spacing w:after="0" w:line="240" w:lineRule="auto"/>
              <w:jc w:val="center"/>
              <w:rPr>
                <w:rFonts w:ascii="Times New Roman" w:eastAsia="Times New Roman" w:hAnsi="Times New Roman" w:cs="Times New Roman"/>
                <w:b/>
                <w:bCs/>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Cas pratique</w:t>
            </w:r>
          </w:p>
        </w:tc>
        <w:tc>
          <w:tcPr>
            <w:tcW w:w="0" w:type="auto"/>
            <w:vAlign w:val="center"/>
            <w:hideMark/>
          </w:tcPr>
          <w:p w14:paraId="52D92FF0" w14:textId="77777777" w:rsidR="008779B7" w:rsidRPr="008779B7" w:rsidRDefault="008779B7" w:rsidP="008779B7">
            <w:pPr>
              <w:spacing w:after="0" w:line="240" w:lineRule="auto"/>
              <w:jc w:val="center"/>
              <w:rPr>
                <w:rFonts w:ascii="Times New Roman" w:eastAsia="Times New Roman" w:hAnsi="Times New Roman" w:cs="Times New Roman"/>
                <w:b/>
                <w:bCs/>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Articles de loi</w:t>
            </w:r>
          </w:p>
        </w:tc>
        <w:tc>
          <w:tcPr>
            <w:tcW w:w="0" w:type="auto"/>
            <w:vAlign w:val="center"/>
            <w:hideMark/>
          </w:tcPr>
          <w:p w14:paraId="7110ED64" w14:textId="77777777" w:rsidR="008779B7" w:rsidRPr="008779B7" w:rsidRDefault="008779B7" w:rsidP="008779B7">
            <w:pPr>
              <w:spacing w:after="0" w:line="240" w:lineRule="auto"/>
              <w:jc w:val="center"/>
              <w:rPr>
                <w:rFonts w:ascii="Times New Roman" w:eastAsia="Times New Roman" w:hAnsi="Times New Roman" w:cs="Times New Roman"/>
                <w:b/>
                <w:bCs/>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Résumé</w:t>
            </w:r>
          </w:p>
        </w:tc>
      </w:tr>
      <w:tr w:rsidR="008779B7" w:rsidRPr="008779B7" w14:paraId="12712EFF" w14:textId="77777777" w:rsidTr="008779B7">
        <w:trPr>
          <w:tblCellSpacing w:w="15" w:type="dxa"/>
        </w:trPr>
        <w:tc>
          <w:tcPr>
            <w:tcW w:w="0" w:type="auto"/>
            <w:vAlign w:val="center"/>
            <w:hideMark/>
          </w:tcPr>
          <w:p w14:paraId="310B75C7" w14:textId="77777777" w:rsidR="008779B7" w:rsidRPr="008779B7" w:rsidRDefault="008779B7" w:rsidP="008779B7">
            <w:pPr>
              <w:spacing w:after="0"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kern w:val="0"/>
                <w:sz w:val="24"/>
                <w:szCs w:val="24"/>
                <w:lang w:eastAsia="fr-CH"/>
                <w14:ligatures w14:val="none"/>
              </w:rPr>
              <w:t>6.1 – Préjudice corporel à court terme</w:t>
            </w:r>
          </w:p>
        </w:tc>
        <w:tc>
          <w:tcPr>
            <w:tcW w:w="0" w:type="auto"/>
            <w:vAlign w:val="center"/>
            <w:hideMark/>
          </w:tcPr>
          <w:p w14:paraId="1FB230F5" w14:textId="77777777" w:rsidR="008779B7" w:rsidRPr="008779B7" w:rsidRDefault="008779B7" w:rsidP="008779B7">
            <w:pPr>
              <w:spacing w:after="0"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kern w:val="0"/>
                <w:sz w:val="24"/>
                <w:szCs w:val="24"/>
                <w:lang w:eastAsia="fr-CH"/>
                <w14:ligatures w14:val="none"/>
              </w:rPr>
              <w:t>Code civil suisse (dommage corporel), Code FMH (erreur de médication)</w:t>
            </w:r>
          </w:p>
        </w:tc>
        <w:tc>
          <w:tcPr>
            <w:tcW w:w="0" w:type="auto"/>
            <w:vAlign w:val="center"/>
            <w:hideMark/>
          </w:tcPr>
          <w:p w14:paraId="120CDC6E" w14:textId="77777777" w:rsidR="008779B7" w:rsidRPr="008779B7" w:rsidRDefault="008779B7" w:rsidP="008779B7">
            <w:pPr>
              <w:spacing w:after="0"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kern w:val="0"/>
                <w:sz w:val="24"/>
                <w:szCs w:val="24"/>
                <w:lang w:eastAsia="fr-CH"/>
                <w14:ligatures w14:val="none"/>
              </w:rPr>
              <w:t>Surdosage causant un préjudice temporaire mais indemnisable</w:t>
            </w:r>
          </w:p>
        </w:tc>
      </w:tr>
    </w:tbl>
    <w:p w14:paraId="1B24A79C" w14:textId="77777777" w:rsidR="008779B7" w:rsidRPr="008779B7" w:rsidRDefault="008779B7" w:rsidP="008779B7">
      <w:pPr>
        <w:spacing w:before="100" w:beforeAutospacing="1" w:after="100" w:afterAutospacing="1" w:line="240" w:lineRule="auto"/>
        <w:outlineLvl w:val="2"/>
        <w:rPr>
          <w:rFonts w:ascii="Times New Roman" w:eastAsia="Times New Roman" w:hAnsi="Times New Roman" w:cs="Times New Roman"/>
          <w:b/>
          <w:bCs/>
          <w:kern w:val="0"/>
          <w:sz w:val="27"/>
          <w:szCs w:val="27"/>
          <w:lang w:eastAsia="fr-CH"/>
          <w14:ligatures w14:val="none"/>
        </w:rPr>
      </w:pPr>
      <w:r w:rsidRPr="008779B7">
        <w:rPr>
          <w:rFonts w:ascii="Times New Roman" w:eastAsia="Times New Roman" w:hAnsi="Times New Roman" w:cs="Times New Roman"/>
          <w:b/>
          <w:bCs/>
          <w:kern w:val="0"/>
          <w:sz w:val="27"/>
          <w:szCs w:val="27"/>
          <w:lang w:eastAsia="fr-CH"/>
          <w14:ligatures w14:val="none"/>
        </w:rPr>
        <w:t xml:space="preserve">Cas pratique 6.2 : Préjudice moral </w:t>
      </w:r>
      <w:proofErr w:type="gramStart"/>
      <w:r w:rsidRPr="008779B7">
        <w:rPr>
          <w:rFonts w:ascii="Times New Roman" w:eastAsia="Times New Roman" w:hAnsi="Times New Roman" w:cs="Times New Roman"/>
          <w:b/>
          <w:bCs/>
          <w:kern w:val="0"/>
          <w:sz w:val="27"/>
          <w:szCs w:val="27"/>
          <w:lang w:eastAsia="fr-CH"/>
          <w14:ligatures w14:val="none"/>
        </w:rPr>
        <w:t>suite à une</w:t>
      </w:r>
      <w:proofErr w:type="gramEnd"/>
      <w:r w:rsidRPr="008779B7">
        <w:rPr>
          <w:rFonts w:ascii="Times New Roman" w:eastAsia="Times New Roman" w:hAnsi="Times New Roman" w:cs="Times New Roman"/>
          <w:b/>
          <w:bCs/>
          <w:kern w:val="0"/>
          <w:sz w:val="27"/>
          <w:szCs w:val="27"/>
          <w:lang w:eastAsia="fr-CH"/>
          <w14:ligatures w14:val="none"/>
        </w:rPr>
        <w:t xml:space="preserve"> violation du devoir d’information</w:t>
      </w:r>
    </w:p>
    <w:p w14:paraId="683EBD46"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Mise en situation :</w:t>
      </w:r>
      <w:r w:rsidRPr="008779B7">
        <w:rPr>
          <w:rFonts w:ascii="Times New Roman" w:eastAsia="Times New Roman" w:hAnsi="Times New Roman" w:cs="Times New Roman"/>
          <w:kern w:val="0"/>
          <w:sz w:val="24"/>
          <w:szCs w:val="24"/>
          <w:lang w:eastAsia="fr-CH"/>
          <w14:ligatures w14:val="none"/>
        </w:rPr>
        <w:t xml:space="preserve"> Un patient apprend tardivement que son médecin n’a pas respecté le devoir d’information complet concernant les risques d’un traitement, ce qui a généré une anxiété importante et une détresse psychologique.</w:t>
      </w:r>
    </w:p>
    <w:p w14:paraId="49F009B6"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Réponse argumentée :</w:t>
      </w:r>
      <w:r w:rsidRPr="008779B7">
        <w:rPr>
          <w:rFonts w:ascii="Times New Roman" w:eastAsia="Times New Roman" w:hAnsi="Times New Roman" w:cs="Times New Roman"/>
          <w:kern w:val="0"/>
          <w:sz w:val="24"/>
          <w:szCs w:val="24"/>
          <w:lang w:eastAsia="fr-CH"/>
          <w14:ligatures w14:val="none"/>
        </w:rPr>
        <w:t xml:space="preserve"> La violation du devoir d’information entraîne un préjudice moral. L’invalidation du consentement éclairé justifie une réparation destinée à compenser la souffrance psychologique.</w:t>
      </w:r>
    </w:p>
    <w:p w14:paraId="18B15872"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Articles de loi :</w:t>
      </w:r>
    </w:p>
    <w:p w14:paraId="669AD245" w14:textId="77777777" w:rsidR="008779B7" w:rsidRPr="008779B7" w:rsidRDefault="008779B7" w:rsidP="008779B7">
      <w:pPr>
        <w:numPr>
          <w:ilvl w:val="0"/>
          <w:numId w:val="29"/>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Code civil suisse</w:t>
      </w:r>
      <w:r w:rsidRPr="008779B7">
        <w:rPr>
          <w:rFonts w:ascii="Times New Roman" w:eastAsia="Times New Roman" w:hAnsi="Times New Roman" w:cs="Times New Roman"/>
          <w:kern w:val="0"/>
          <w:sz w:val="24"/>
          <w:szCs w:val="24"/>
          <w:lang w:eastAsia="fr-CH"/>
          <w14:ligatures w14:val="none"/>
        </w:rPr>
        <w:t xml:space="preserve"> (indemnisation du préjudice moral)</w:t>
      </w:r>
    </w:p>
    <w:p w14:paraId="5C819E7F" w14:textId="77777777" w:rsidR="008779B7" w:rsidRPr="008779B7" w:rsidRDefault="008779B7" w:rsidP="008779B7">
      <w:pPr>
        <w:numPr>
          <w:ilvl w:val="0"/>
          <w:numId w:val="29"/>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Jurisprudence sur le défaut d’information</w:t>
      </w:r>
    </w:p>
    <w:p w14:paraId="73AA4A85"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Analyse approfondie :</w:t>
      </w:r>
      <w:r w:rsidRPr="008779B7">
        <w:rPr>
          <w:rFonts w:ascii="Times New Roman" w:eastAsia="Times New Roman" w:hAnsi="Times New Roman" w:cs="Times New Roman"/>
          <w:kern w:val="0"/>
          <w:sz w:val="24"/>
          <w:szCs w:val="24"/>
          <w:lang w:eastAsia="fr-CH"/>
          <w14:ligatures w14:val="none"/>
        </w:rPr>
        <w:t xml:space="preserve"> L’aspect moral du préjudice se mesure par l’atteinte à la dignité et la détresse éprouvée. La réparation vise à restaurer, autant que possible, la situation psychologique du patient.</w:t>
      </w:r>
    </w:p>
    <w:p w14:paraId="66F9CF18"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Tableau récapitulatif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33"/>
        <w:gridCol w:w="4297"/>
        <w:gridCol w:w="3808"/>
      </w:tblGrid>
      <w:tr w:rsidR="008779B7" w:rsidRPr="008779B7" w14:paraId="025D1246" w14:textId="77777777" w:rsidTr="008779B7">
        <w:trPr>
          <w:tblHeader/>
          <w:tblCellSpacing w:w="15" w:type="dxa"/>
        </w:trPr>
        <w:tc>
          <w:tcPr>
            <w:tcW w:w="0" w:type="auto"/>
            <w:vAlign w:val="center"/>
            <w:hideMark/>
          </w:tcPr>
          <w:p w14:paraId="188AB273" w14:textId="77777777" w:rsidR="008779B7" w:rsidRPr="008779B7" w:rsidRDefault="008779B7" w:rsidP="008779B7">
            <w:pPr>
              <w:spacing w:after="0" w:line="240" w:lineRule="auto"/>
              <w:jc w:val="center"/>
              <w:rPr>
                <w:rFonts w:ascii="Times New Roman" w:eastAsia="Times New Roman" w:hAnsi="Times New Roman" w:cs="Times New Roman"/>
                <w:b/>
                <w:bCs/>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Cas pratique</w:t>
            </w:r>
          </w:p>
        </w:tc>
        <w:tc>
          <w:tcPr>
            <w:tcW w:w="0" w:type="auto"/>
            <w:vAlign w:val="center"/>
            <w:hideMark/>
          </w:tcPr>
          <w:p w14:paraId="1BEC9A61" w14:textId="77777777" w:rsidR="008779B7" w:rsidRPr="008779B7" w:rsidRDefault="008779B7" w:rsidP="008779B7">
            <w:pPr>
              <w:spacing w:after="0" w:line="240" w:lineRule="auto"/>
              <w:jc w:val="center"/>
              <w:rPr>
                <w:rFonts w:ascii="Times New Roman" w:eastAsia="Times New Roman" w:hAnsi="Times New Roman" w:cs="Times New Roman"/>
                <w:b/>
                <w:bCs/>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Articles de loi</w:t>
            </w:r>
          </w:p>
        </w:tc>
        <w:tc>
          <w:tcPr>
            <w:tcW w:w="0" w:type="auto"/>
            <w:vAlign w:val="center"/>
            <w:hideMark/>
          </w:tcPr>
          <w:p w14:paraId="5EEB4258" w14:textId="77777777" w:rsidR="008779B7" w:rsidRPr="008779B7" w:rsidRDefault="008779B7" w:rsidP="008779B7">
            <w:pPr>
              <w:spacing w:after="0" w:line="240" w:lineRule="auto"/>
              <w:jc w:val="center"/>
              <w:rPr>
                <w:rFonts w:ascii="Times New Roman" w:eastAsia="Times New Roman" w:hAnsi="Times New Roman" w:cs="Times New Roman"/>
                <w:b/>
                <w:bCs/>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Résumé</w:t>
            </w:r>
          </w:p>
        </w:tc>
      </w:tr>
      <w:tr w:rsidR="008779B7" w:rsidRPr="008779B7" w14:paraId="46E18A35" w14:textId="77777777" w:rsidTr="008779B7">
        <w:trPr>
          <w:tblCellSpacing w:w="15" w:type="dxa"/>
        </w:trPr>
        <w:tc>
          <w:tcPr>
            <w:tcW w:w="0" w:type="auto"/>
            <w:vAlign w:val="center"/>
            <w:hideMark/>
          </w:tcPr>
          <w:p w14:paraId="4792B4E9" w14:textId="77777777" w:rsidR="008779B7" w:rsidRPr="008779B7" w:rsidRDefault="008779B7" w:rsidP="008779B7">
            <w:pPr>
              <w:spacing w:after="0"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kern w:val="0"/>
                <w:sz w:val="24"/>
                <w:szCs w:val="24"/>
                <w:lang w:eastAsia="fr-CH"/>
                <w14:ligatures w14:val="none"/>
              </w:rPr>
              <w:t>6.2 – Préjudice moral</w:t>
            </w:r>
          </w:p>
        </w:tc>
        <w:tc>
          <w:tcPr>
            <w:tcW w:w="0" w:type="auto"/>
            <w:vAlign w:val="center"/>
            <w:hideMark/>
          </w:tcPr>
          <w:p w14:paraId="6233324D" w14:textId="77777777" w:rsidR="008779B7" w:rsidRPr="008779B7" w:rsidRDefault="008779B7" w:rsidP="008779B7">
            <w:pPr>
              <w:spacing w:after="0"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kern w:val="0"/>
                <w:sz w:val="24"/>
                <w:szCs w:val="24"/>
                <w:lang w:eastAsia="fr-CH"/>
                <w14:ligatures w14:val="none"/>
              </w:rPr>
              <w:t>Code civil suisse (préjudice moral), jurisprudence sur le devoir d’information</w:t>
            </w:r>
          </w:p>
        </w:tc>
        <w:tc>
          <w:tcPr>
            <w:tcW w:w="0" w:type="auto"/>
            <w:vAlign w:val="center"/>
            <w:hideMark/>
          </w:tcPr>
          <w:p w14:paraId="611D94C7" w14:textId="77777777" w:rsidR="008779B7" w:rsidRPr="008779B7" w:rsidRDefault="008779B7" w:rsidP="008779B7">
            <w:pPr>
              <w:spacing w:after="0"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kern w:val="0"/>
                <w:sz w:val="24"/>
                <w:szCs w:val="24"/>
                <w:lang w:eastAsia="fr-CH"/>
                <w14:ligatures w14:val="none"/>
              </w:rPr>
              <w:t>Anxiété et détresse psychologique dues à un défaut d’information</w:t>
            </w:r>
          </w:p>
        </w:tc>
      </w:tr>
    </w:tbl>
    <w:p w14:paraId="557FED04" w14:textId="77777777" w:rsidR="008779B7" w:rsidRPr="008779B7" w:rsidRDefault="008779B7" w:rsidP="008779B7">
      <w:pPr>
        <w:spacing w:before="100" w:beforeAutospacing="1" w:after="100" w:afterAutospacing="1" w:line="240" w:lineRule="auto"/>
        <w:outlineLvl w:val="2"/>
        <w:rPr>
          <w:rFonts w:ascii="Times New Roman" w:eastAsia="Times New Roman" w:hAnsi="Times New Roman" w:cs="Times New Roman"/>
          <w:b/>
          <w:bCs/>
          <w:kern w:val="0"/>
          <w:sz w:val="27"/>
          <w:szCs w:val="27"/>
          <w:lang w:eastAsia="fr-CH"/>
          <w14:ligatures w14:val="none"/>
        </w:rPr>
      </w:pPr>
      <w:r w:rsidRPr="008779B7">
        <w:rPr>
          <w:rFonts w:ascii="Times New Roman" w:eastAsia="Times New Roman" w:hAnsi="Times New Roman" w:cs="Times New Roman"/>
          <w:b/>
          <w:bCs/>
          <w:kern w:val="0"/>
          <w:sz w:val="27"/>
          <w:szCs w:val="27"/>
          <w:lang w:eastAsia="fr-CH"/>
          <w14:ligatures w14:val="none"/>
        </w:rPr>
        <w:lastRenderedPageBreak/>
        <w:t>Cas pratique 6.3 : Préjudice économique lié à une incapacité de travail</w:t>
      </w:r>
    </w:p>
    <w:p w14:paraId="27B4A386"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Mise en situation :</w:t>
      </w:r>
      <w:r w:rsidRPr="008779B7">
        <w:rPr>
          <w:rFonts w:ascii="Times New Roman" w:eastAsia="Times New Roman" w:hAnsi="Times New Roman" w:cs="Times New Roman"/>
          <w:kern w:val="0"/>
          <w:sz w:val="24"/>
          <w:szCs w:val="24"/>
          <w:lang w:eastAsia="fr-CH"/>
          <w14:ligatures w14:val="none"/>
        </w:rPr>
        <w:t xml:space="preserve"> </w:t>
      </w:r>
      <w:proofErr w:type="gramStart"/>
      <w:r w:rsidRPr="008779B7">
        <w:rPr>
          <w:rFonts w:ascii="Times New Roman" w:eastAsia="Times New Roman" w:hAnsi="Times New Roman" w:cs="Times New Roman"/>
          <w:kern w:val="0"/>
          <w:sz w:val="24"/>
          <w:szCs w:val="24"/>
          <w:lang w:eastAsia="fr-CH"/>
          <w14:ligatures w14:val="none"/>
        </w:rPr>
        <w:t>Suite à une</w:t>
      </w:r>
      <w:proofErr w:type="gramEnd"/>
      <w:r w:rsidRPr="008779B7">
        <w:rPr>
          <w:rFonts w:ascii="Times New Roman" w:eastAsia="Times New Roman" w:hAnsi="Times New Roman" w:cs="Times New Roman"/>
          <w:kern w:val="0"/>
          <w:sz w:val="24"/>
          <w:szCs w:val="24"/>
          <w:lang w:eastAsia="fr-CH"/>
          <w14:ligatures w14:val="none"/>
        </w:rPr>
        <w:t xml:space="preserve"> intervention dommageable, un patient est temporairement dans l’incapacité de travailler, entraînant une perte de revenus significative et des frais médicaux supplémentaires.</w:t>
      </w:r>
    </w:p>
    <w:p w14:paraId="57F202D3"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Réponse argumentée :</w:t>
      </w:r>
      <w:r w:rsidRPr="008779B7">
        <w:rPr>
          <w:rFonts w:ascii="Times New Roman" w:eastAsia="Times New Roman" w:hAnsi="Times New Roman" w:cs="Times New Roman"/>
          <w:kern w:val="0"/>
          <w:sz w:val="24"/>
          <w:szCs w:val="24"/>
          <w:lang w:eastAsia="fr-CH"/>
          <w14:ligatures w14:val="none"/>
        </w:rPr>
        <w:t xml:space="preserve"> La perte économique est clairement identifiable et </w:t>
      </w:r>
      <w:proofErr w:type="spellStart"/>
      <w:r w:rsidRPr="008779B7">
        <w:rPr>
          <w:rFonts w:ascii="Times New Roman" w:eastAsia="Times New Roman" w:hAnsi="Times New Roman" w:cs="Times New Roman"/>
          <w:kern w:val="0"/>
          <w:sz w:val="24"/>
          <w:szCs w:val="24"/>
          <w:lang w:eastAsia="fr-CH"/>
          <w14:ligatures w14:val="none"/>
        </w:rPr>
        <w:t>indemnizable</w:t>
      </w:r>
      <w:proofErr w:type="spellEnd"/>
      <w:r w:rsidRPr="008779B7">
        <w:rPr>
          <w:rFonts w:ascii="Times New Roman" w:eastAsia="Times New Roman" w:hAnsi="Times New Roman" w:cs="Times New Roman"/>
          <w:kern w:val="0"/>
          <w:sz w:val="24"/>
          <w:szCs w:val="24"/>
          <w:lang w:eastAsia="fr-CH"/>
          <w14:ligatures w14:val="none"/>
        </w:rPr>
        <w:t>. La responsabilité du médecin est engagée dès lors que le lien de causalité entre l’erreur médicale et l’incapacité de travail est établi.</w:t>
      </w:r>
    </w:p>
    <w:p w14:paraId="7A634CDD"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Articles de loi :</w:t>
      </w:r>
    </w:p>
    <w:p w14:paraId="4E88AFEC" w14:textId="77777777" w:rsidR="008779B7" w:rsidRPr="008779B7" w:rsidRDefault="008779B7" w:rsidP="008779B7">
      <w:pPr>
        <w:numPr>
          <w:ilvl w:val="0"/>
          <w:numId w:val="30"/>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Code civil suisse</w:t>
      </w:r>
      <w:r w:rsidRPr="008779B7">
        <w:rPr>
          <w:rFonts w:ascii="Times New Roman" w:eastAsia="Times New Roman" w:hAnsi="Times New Roman" w:cs="Times New Roman"/>
          <w:kern w:val="0"/>
          <w:sz w:val="24"/>
          <w:szCs w:val="24"/>
          <w:lang w:eastAsia="fr-CH"/>
          <w14:ligatures w14:val="none"/>
        </w:rPr>
        <w:t xml:space="preserve"> (réparation du préjudice économique)</w:t>
      </w:r>
    </w:p>
    <w:p w14:paraId="6CD1D177" w14:textId="77777777" w:rsidR="008779B7" w:rsidRPr="008779B7" w:rsidRDefault="008779B7" w:rsidP="008779B7">
      <w:pPr>
        <w:numPr>
          <w:ilvl w:val="0"/>
          <w:numId w:val="30"/>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Jurisprudence relative aux indemnités d’incapacité de travail pour faute médicale</w:t>
      </w:r>
    </w:p>
    <w:p w14:paraId="485DAF2D"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Analyse approfondie :</w:t>
      </w:r>
      <w:r w:rsidRPr="008779B7">
        <w:rPr>
          <w:rFonts w:ascii="Times New Roman" w:eastAsia="Times New Roman" w:hAnsi="Times New Roman" w:cs="Times New Roman"/>
          <w:kern w:val="0"/>
          <w:sz w:val="24"/>
          <w:szCs w:val="24"/>
          <w:lang w:eastAsia="fr-CH"/>
          <w14:ligatures w14:val="none"/>
        </w:rPr>
        <w:t xml:space="preserve"> La quantification du préjudice économique se fait à partir de la perte réelle de revenus et des frais engagés pour la réadaptation. L’indemnisation vise à compenser intégralement cette perte.</w:t>
      </w:r>
    </w:p>
    <w:p w14:paraId="4D162F62"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Tableau récapitulatif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76"/>
        <w:gridCol w:w="3994"/>
        <w:gridCol w:w="3768"/>
      </w:tblGrid>
      <w:tr w:rsidR="008779B7" w:rsidRPr="008779B7" w14:paraId="6BFCFD8D" w14:textId="77777777" w:rsidTr="008779B7">
        <w:trPr>
          <w:tblHeader/>
          <w:tblCellSpacing w:w="15" w:type="dxa"/>
        </w:trPr>
        <w:tc>
          <w:tcPr>
            <w:tcW w:w="0" w:type="auto"/>
            <w:vAlign w:val="center"/>
            <w:hideMark/>
          </w:tcPr>
          <w:p w14:paraId="67249ADD" w14:textId="77777777" w:rsidR="008779B7" w:rsidRPr="008779B7" w:rsidRDefault="008779B7" w:rsidP="008779B7">
            <w:pPr>
              <w:spacing w:after="0" w:line="240" w:lineRule="auto"/>
              <w:jc w:val="center"/>
              <w:rPr>
                <w:rFonts w:ascii="Times New Roman" w:eastAsia="Times New Roman" w:hAnsi="Times New Roman" w:cs="Times New Roman"/>
                <w:b/>
                <w:bCs/>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Cas pratique</w:t>
            </w:r>
          </w:p>
        </w:tc>
        <w:tc>
          <w:tcPr>
            <w:tcW w:w="0" w:type="auto"/>
            <w:vAlign w:val="center"/>
            <w:hideMark/>
          </w:tcPr>
          <w:p w14:paraId="02560F71" w14:textId="77777777" w:rsidR="008779B7" w:rsidRPr="008779B7" w:rsidRDefault="008779B7" w:rsidP="008779B7">
            <w:pPr>
              <w:spacing w:after="0" w:line="240" w:lineRule="auto"/>
              <w:jc w:val="center"/>
              <w:rPr>
                <w:rFonts w:ascii="Times New Roman" w:eastAsia="Times New Roman" w:hAnsi="Times New Roman" w:cs="Times New Roman"/>
                <w:b/>
                <w:bCs/>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Articles de loi</w:t>
            </w:r>
          </w:p>
        </w:tc>
        <w:tc>
          <w:tcPr>
            <w:tcW w:w="0" w:type="auto"/>
            <w:vAlign w:val="center"/>
            <w:hideMark/>
          </w:tcPr>
          <w:p w14:paraId="3A9B1EE5" w14:textId="77777777" w:rsidR="008779B7" w:rsidRPr="008779B7" w:rsidRDefault="008779B7" w:rsidP="008779B7">
            <w:pPr>
              <w:spacing w:after="0" w:line="240" w:lineRule="auto"/>
              <w:jc w:val="center"/>
              <w:rPr>
                <w:rFonts w:ascii="Times New Roman" w:eastAsia="Times New Roman" w:hAnsi="Times New Roman" w:cs="Times New Roman"/>
                <w:b/>
                <w:bCs/>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Résumé</w:t>
            </w:r>
          </w:p>
        </w:tc>
      </w:tr>
      <w:tr w:rsidR="008779B7" w:rsidRPr="008779B7" w14:paraId="28394A6F" w14:textId="77777777" w:rsidTr="008779B7">
        <w:trPr>
          <w:tblCellSpacing w:w="15" w:type="dxa"/>
        </w:trPr>
        <w:tc>
          <w:tcPr>
            <w:tcW w:w="0" w:type="auto"/>
            <w:vAlign w:val="center"/>
            <w:hideMark/>
          </w:tcPr>
          <w:p w14:paraId="6397EA34" w14:textId="77777777" w:rsidR="008779B7" w:rsidRPr="008779B7" w:rsidRDefault="008779B7" w:rsidP="008779B7">
            <w:pPr>
              <w:spacing w:after="0"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kern w:val="0"/>
                <w:sz w:val="24"/>
                <w:szCs w:val="24"/>
                <w:lang w:eastAsia="fr-CH"/>
                <w14:ligatures w14:val="none"/>
              </w:rPr>
              <w:t>6.3 – Préjudice économique</w:t>
            </w:r>
          </w:p>
        </w:tc>
        <w:tc>
          <w:tcPr>
            <w:tcW w:w="0" w:type="auto"/>
            <w:vAlign w:val="center"/>
            <w:hideMark/>
          </w:tcPr>
          <w:p w14:paraId="5600C0F4" w14:textId="77777777" w:rsidR="008779B7" w:rsidRPr="008779B7" w:rsidRDefault="008779B7" w:rsidP="008779B7">
            <w:pPr>
              <w:spacing w:after="0"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kern w:val="0"/>
                <w:sz w:val="24"/>
                <w:szCs w:val="24"/>
                <w:lang w:eastAsia="fr-CH"/>
                <w14:ligatures w14:val="none"/>
              </w:rPr>
              <w:t>Code civil suisse (dommage économique), jurisprudence (incapacité de travail)</w:t>
            </w:r>
          </w:p>
        </w:tc>
        <w:tc>
          <w:tcPr>
            <w:tcW w:w="0" w:type="auto"/>
            <w:vAlign w:val="center"/>
            <w:hideMark/>
          </w:tcPr>
          <w:p w14:paraId="75F73857" w14:textId="77777777" w:rsidR="008779B7" w:rsidRPr="008779B7" w:rsidRDefault="008779B7" w:rsidP="008779B7">
            <w:pPr>
              <w:spacing w:after="0"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kern w:val="0"/>
                <w:sz w:val="24"/>
                <w:szCs w:val="24"/>
                <w:lang w:eastAsia="fr-CH"/>
                <w14:ligatures w14:val="none"/>
              </w:rPr>
              <w:t>Perte de revenus et frais supplémentaires dus à une incapacité validée</w:t>
            </w:r>
          </w:p>
        </w:tc>
      </w:tr>
    </w:tbl>
    <w:p w14:paraId="38E93C4C" w14:textId="77777777" w:rsidR="008779B7" w:rsidRPr="008779B7" w:rsidRDefault="008779B7" w:rsidP="008779B7">
      <w:pPr>
        <w:spacing w:before="100" w:beforeAutospacing="1" w:after="100" w:afterAutospacing="1" w:line="240" w:lineRule="auto"/>
        <w:outlineLvl w:val="2"/>
        <w:rPr>
          <w:rFonts w:ascii="Times New Roman" w:eastAsia="Times New Roman" w:hAnsi="Times New Roman" w:cs="Times New Roman"/>
          <w:b/>
          <w:bCs/>
          <w:kern w:val="0"/>
          <w:sz w:val="27"/>
          <w:szCs w:val="27"/>
          <w:lang w:eastAsia="fr-CH"/>
          <w14:ligatures w14:val="none"/>
        </w:rPr>
      </w:pPr>
      <w:r w:rsidRPr="008779B7">
        <w:rPr>
          <w:rFonts w:ascii="Times New Roman" w:eastAsia="Times New Roman" w:hAnsi="Times New Roman" w:cs="Times New Roman"/>
          <w:b/>
          <w:bCs/>
          <w:kern w:val="0"/>
          <w:sz w:val="27"/>
          <w:szCs w:val="27"/>
          <w:lang w:eastAsia="fr-CH"/>
          <w14:ligatures w14:val="none"/>
        </w:rPr>
        <w:t>Cas pratique 6.4 : Préjudice mixte (corporel et moral) post-opératoire</w:t>
      </w:r>
    </w:p>
    <w:p w14:paraId="66BAFD62"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Mise en situation :</w:t>
      </w:r>
      <w:r w:rsidRPr="008779B7">
        <w:rPr>
          <w:rFonts w:ascii="Times New Roman" w:eastAsia="Times New Roman" w:hAnsi="Times New Roman" w:cs="Times New Roman"/>
          <w:kern w:val="0"/>
          <w:sz w:val="24"/>
          <w:szCs w:val="24"/>
          <w:lang w:eastAsia="fr-CH"/>
          <w14:ligatures w14:val="none"/>
        </w:rPr>
        <w:t xml:space="preserve"> Après une opération mal conduite, un patient subit à la fois des complications physiques (douleurs chroniques) et une détérioration de sa santé mentale, affectant sa vie sociale et professionnelle de façon durable.</w:t>
      </w:r>
    </w:p>
    <w:p w14:paraId="2E978746"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Réponse argumentée :</w:t>
      </w:r>
      <w:r w:rsidRPr="008779B7">
        <w:rPr>
          <w:rFonts w:ascii="Times New Roman" w:eastAsia="Times New Roman" w:hAnsi="Times New Roman" w:cs="Times New Roman"/>
          <w:kern w:val="0"/>
          <w:sz w:val="24"/>
          <w:szCs w:val="24"/>
          <w:lang w:eastAsia="fr-CH"/>
          <w14:ligatures w14:val="none"/>
        </w:rPr>
        <w:t xml:space="preserve"> Le préjudice mixte exige une analyse globale de l’atteinte tant physique que psychologique. La réparation doit couvrir l’intégralité des conséquences négatives découlant de la faute médicale.</w:t>
      </w:r>
    </w:p>
    <w:p w14:paraId="062D46C6"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Articles de loi :</w:t>
      </w:r>
    </w:p>
    <w:p w14:paraId="1200D234" w14:textId="77777777" w:rsidR="008779B7" w:rsidRPr="008779B7" w:rsidRDefault="008779B7" w:rsidP="008779B7">
      <w:pPr>
        <w:numPr>
          <w:ilvl w:val="0"/>
          <w:numId w:val="31"/>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Code civil suisse</w:t>
      </w:r>
      <w:r w:rsidRPr="008779B7">
        <w:rPr>
          <w:rFonts w:ascii="Times New Roman" w:eastAsia="Times New Roman" w:hAnsi="Times New Roman" w:cs="Times New Roman"/>
          <w:kern w:val="0"/>
          <w:sz w:val="24"/>
          <w:szCs w:val="24"/>
          <w:lang w:eastAsia="fr-CH"/>
          <w14:ligatures w14:val="none"/>
        </w:rPr>
        <w:t xml:space="preserve"> (préjudice global incluant aspects corporels et moraux)</w:t>
      </w:r>
    </w:p>
    <w:p w14:paraId="448CD82D" w14:textId="77777777" w:rsidR="008779B7" w:rsidRPr="008779B7" w:rsidRDefault="008779B7" w:rsidP="008779B7">
      <w:pPr>
        <w:numPr>
          <w:ilvl w:val="0"/>
          <w:numId w:val="31"/>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Jurisprudence sur les cas de dommage mixte</w:t>
      </w:r>
    </w:p>
    <w:p w14:paraId="6A4E1488"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Analyse approfondie :</w:t>
      </w:r>
      <w:r w:rsidRPr="008779B7">
        <w:rPr>
          <w:rFonts w:ascii="Times New Roman" w:eastAsia="Times New Roman" w:hAnsi="Times New Roman" w:cs="Times New Roman"/>
          <w:kern w:val="0"/>
          <w:sz w:val="24"/>
          <w:szCs w:val="24"/>
          <w:lang w:eastAsia="fr-CH"/>
          <w14:ligatures w14:val="none"/>
        </w:rPr>
        <w:t xml:space="preserve"> La coexistence des préjudices corporel et moral complexifie l’évaluation. Des expertises conjointes permettent habituellement de chiffrer l’indemnisation afin de restaurer la qualité de vie perdue.</w:t>
      </w:r>
    </w:p>
    <w:p w14:paraId="50768B9C"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Tableau récapitulatif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18"/>
        <w:gridCol w:w="3839"/>
        <w:gridCol w:w="4281"/>
      </w:tblGrid>
      <w:tr w:rsidR="008779B7" w:rsidRPr="008779B7" w14:paraId="335519C2" w14:textId="77777777" w:rsidTr="008779B7">
        <w:trPr>
          <w:tblHeader/>
          <w:tblCellSpacing w:w="15" w:type="dxa"/>
        </w:trPr>
        <w:tc>
          <w:tcPr>
            <w:tcW w:w="0" w:type="auto"/>
            <w:vAlign w:val="center"/>
            <w:hideMark/>
          </w:tcPr>
          <w:p w14:paraId="6ED6B038" w14:textId="77777777" w:rsidR="008779B7" w:rsidRPr="008779B7" w:rsidRDefault="008779B7" w:rsidP="008779B7">
            <w:pPr>
              <w:spacing w:after="0" w:line="240" w:lineRule="auto"/>
              <w:jc w:val="center"/>
              <w:rPr>
                <w:rFonts w:ascii="Times New Roman" w:eastAsia="Times New Roman" w:hAnsi="Times New Roman" w:cs="Times New Roman"/>
                <w:b/>
                <w:bCs/>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Cas pratique</w:t>
            </w:r>
          </w:p>
        </w:tc>
        <w:tc>
          <w:tcPr>
            <w:tcW w:w="0" w:type="auto"/>
            <w:vAlign w:val="center"/>
            <w:hideMark/>
          </w:tcPr>
          <w:p w14:paraId="3D33384C" w14:textId="77777777" w:rsidR="008779B7" w:rsidRPr="008779B7" w:rsidRDefault="008779B7" w:rsidP="008779B7">
            <w:pPr>
              <w:spacing w:after="0" w:line="240" w:lineRule="auto"/>
              <w:jc w:val="center"/>
              <w:rPr>
                <w:rFonts w:ascii="Times New Roman" w:eastAsia="Times New Roman" w:hAnsi="Times New Roman" w:cs="Times New Roman"/>
                <w:b/>
                <w:bCs/>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Articles de loi</w:t>
            </w:r>
          </w:p>
        </w:tc>
        <w:tc>
          <w:tcPr>
            <w:tcW w:w="0" w:type="auto"/>
            <w:vAlign w:val="center"/>
            <w:hideMark/>
          </w:tcPr>
          <w:p w14:paraId="7103A16F" w14:textId="77777777" w:rsidR="008779B7" w:rsidRPr="008779B7" w:rsidRDefault="008779B7" w:rsidP="008779B7">
            <w:pPr>
              <w:spacing w:after="0" w:line="240" w:lineRule="auto"/>
              <w:jc w:val="center"/>
              <w:rPr>
                <w:rFonts w:ascii="Times New Roman" w:eastAsia="Times New Roman" w:hAnsi="Times New Roman" w:cs="Times New Roman"/>
                <w:b/>
                <w:bCs/>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Résumé</w:t>
            </w:r>
          </w:p>
        </w:tc>
      </w:tr>
      <w:tr w:rsidR="008779B7" w:rsidRPr="008779B7" w14:paraId="2D1A35FB" w14:textId="77777777" w:rsidTr="008779B7">
        <w:trPr>
          <w:tblCellSpacing w:w="15" w:type="dxa"/>
        </w:trPr>
        <w:tc>
          <w:tcPr>
            <w:tcW w:w="0" w:type="auto"/>
            <w:vAlign w:val="center"/>
            <w:hideMark/>
          </w:tcPr>
          <w:p w14:paraId="62C9F9D2" w14:textId="77777777" w:rsidR="008779B7" w:rsidRPr="008779B7" w:rsidRDefault="008779B7" w:rsidP="008779B7">
            <w:pPr>
              <w:spacing w:after="0"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kern w:val="0"/>
                <w:sz w:val="24"/>
                <w:szCs w:val="24"/>
                <w:lang w:eastAsia="fr-CH"/>
                <w14:ligatures w14:val="none"/>
              </w:rPr>
              <w:t>6.4 – Préjudice mixte</w:t>
            </w:r>
          </w:p>
        </w:tc>
        <w:tc>
          <w:tcPr>
            <w:tcW w:w="0" w:type="auto"/>
            <w:vAlign w:val="center"/>
            <w:hideMark/>
          </w:tcPr>
          <w:p w14:paraId="7981DF07" w14:textId="77777777" w:rsidR="008779B7" w:rsidRPr="008779B7" w:rsidRDefault="008779B7" w:rsidP="008779B7">
            <w:pPr>
              <w:spacing w:after="0"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kern w:val="0"/>
                <w:sz w:val="24"/>
                <w:szCs w:val="24"/>
                <w:lang w:eastAsia="fr-CH"/>
                <w14:ligatures w14:val="none"/>
              </w:rPr>
              <w:t>Code civil suisse (préjudice global), jurisprudence (dommage mixte)</w:t>
            </w:r>
          </w:p>
        </w:tc>
        <w:tc>
          <w:tcPr>
            <w:tcW w:w="0" w:type="auto"/>
            <w:vAlign w:val="center"/>
            <w:hideMark/>
          </w:tcPr>
          <w:p w14:paraId="06560569" w14:textId="77777777" w:rsidR="008779B7" w:rsidRPr="008779B7" w:rsidRDefault="008779B7" w:rsidP="008779B7">
            <w:pPr>
              <w:spacing w:after="0"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kern w:val="0"/>
                <w:sz w:val="24"/>
                <w:szCs w:val="24"/>
                <w:lang w:eastAsia="fr-CH"/>
                <w14:ligatures w14:val="none"/>
              </w:rPr>
              <w:t>Complications physiques et morales demandant une indemnisation combinée</w:t>
            </w:r>
          </w:p>
        </w:tc>
      </w:tr>
    </w:tbl>
    <w:p w14:paraId="6195B7CC" w14:textId="77777777" w:rsidR="008779B7" w:rsidRPr="008779B7" w:rsidRDefault="008779B7" w:rsidP="008779B7">
      <w:pPr>
        <w:spacing w:before="100" w:beforeAutospacing="1" w:after="100" w:afterAutospacing="1" w:line="240" w:lineRule="auto"/>
        <w:outlineLvl w:val="2"/>
        <w:rPr>
          <w:rFonts w:ascii="Times New Roman" w:eastAsia="Times New Roman" w:hAnsi="Times New Roman" w:cs="Times New Roman"/>
          <w:b/>
          <w:bCs/>
          <w:kern w:val="0"/>
          <w:sz w:val="27"/>
          <w:szCs w:val="27"/>
          <w:lang w:eastAsia="fr-CH"/>
          <w14:ligatures w14:val="none"/>
        </w:rPr>
      </w:pPr>
      <w:r w:rsidRPr="008779B7">
        <w:rPr>
          <w:rFonts w:ascii="Times New Roman" w:eastAsia="Times New Roman" w:hAnsi="Times New Roman" w:cs="Times New Roman"/>
          <w:b/>
          <w:bCs/>
          <w:kern w:val="0"/>
          <w:sz w:val="27"/>
          <w:szCs w:val="27"/>
          <w:lang w:eastAsia="fr-CH"/>
          <w14:ligatures w14:val="none"/>
        </w:rPr>
        <w:lastRenderedPageBreak/>
        <w:t>Cas pratique 6.5 : Préjudice durable avec invalidité permanente</w:t>
      </w:r>
    </w:p>
    <w:p w14:paraId="47B8F03D"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Mise en situation :</w:t>
      </w:r>
      <w:r w:rsidRPr="008779B7">
        <w:rPr>
          <w:rFonts w:ascii="Times New Roman" w:eastAsia="Times New Roman" w:hAnsi="Times New Roman" w:cs="Times New Roman"/>
          <w:kern w:val="0"/>
          <w:sz w:val="24"/>
          <w:szCs w:val="24"/>
          <w:lang w:eastAsia="fr-CH"/>
          <w14:ligatures w14:val="none"/>
        </w:rPr>
        <w:t xml:space="preserve"> Un patient subit, à la suite d'une erreur médicale, une invalidité partielle permanente. Cette invalidité altère durablement sa capacité de travail et sa vie quotidienne, nécessitant une réparation à long terme.</w:t>
      </w:r>
    </w:p>
    <w:p w14:paraId="1CE539EA"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Réponse argumentée :</w:t>
      </w:r>
      <w:r w:rsidRPr="008779B7">
        <w:rPr>
          <w:rFonts w:ascii="Times New Roman" w:eastAsia="Times New Roman" w:hAnsi="Times New Roman" w:cs="Times New Roman"/>
          <w:kern w:val="0"/>
          <w:sz w:val="24"/>
          <w:szCs w:val="24"/>
          <w:lang w:eastAsia="fr-CH"/>
          <w14:ligatures w14:val="none"/>
        </w:rPr>
        <w:t xml:space="preserve"> L’invalidité permanente représente le préjudice le plus lourd. La réparation se base sur l’évaluation de la perte de qualité de vie, la réduction de revenus futurs et les frais de réadaptation à long terme.</w:t>
      </w:r>
    </w:p>
    <w:p w14:paraId="20EB931C"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Articles de loi :</w:t>
      </w:r>
    </w:p>
    <w:p w14:paraId="08776F7E" w14:textId="77777777" w:rsidR="008779B7" w:rsidRPr="008779B7" w:rsidRDefault="008779B7" w:rsidP="008779B7">
      <w:pPr>
        <w:numPr>
          <w:ilvl w:val="0"/>
          <w:numId w:val="32"/>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Code civil suisse</w:t>
      </w:r>
      <w:r w:rsidRPr="008779B7">
        <w:rPr>
          <w:rFonts w:ascii="Times New Roman" w:eastAsia="Times New Roman" w:hAnsi="Times New Roman" w:cs="Times New Roman"/>
          <w:kern w:val="0"/>
          <w:sz w:val="24"/>
          <w:szCs w:val="24"/>
          <w:lang w:eastAsia="fr-CH"/>
          <w14:ligatures w14:val="none"/>
        </w:rPr>
        <w:t xml:space="preserve"> (indemnisation pour invalidité permanente)</w:t>
      </w:r>
    </w:p>
    <w:p w14:paraId="68FCF1D6" w14:textId="77777777" w:rsidR="008779B7" w:rsidRPr="008779B7" w:rsidRDefault="008779B7" w:rsidP="008779B7">
      <w:pPr>
        <w:numPr>
          <w:ilvl w:val="0"/>
          <w:numId w:val="32"/>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Jurisprudence relative aux indemnisations pour préjudice durable</w:t>
      </w:r>
    </w:p>
    <w:p w14:paraId="4AD6A05E"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Analyse approfondie :</w:t>
      </w:r>
      <w:r w:rsidRPr="008779B7">
        <w:rPr>
          <w:rFonts w:ascii="Times New Roman" w:eastAsia="Times New Roman" w:hAnsi="Times New Roman" w:cs="Times New Roman"/>
          <w:kern w:val="0"/>
          <w:sz w:val="24"/>
          <w:szCs w:val="24"/>
          <w:lang w:eastAsia="fr-CH"/>
          <w14:ligatures w14:val="none"/>
        </w:rPr>
        <w:t xml:space="preserve"> La gravité de l’invalidité impose une indemnisation conséquente. L’évaluation se fonde sur des barèmes reconnus et doit prendre en compte tant le dommage économique que la dimension humaine et psychologique du préjudice.</w:t>
      </w:r>
    </w:p>
    <w:p w14:paraId="26D31921"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Tableau récapitulatif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767"/>
        <w:gridCol w:w="1687"/>
        <w:gridCol w:w="889"/>
      </w:tblGrid>
      <w:tr w:rsidR="008779B7" w:rsidRPr="008779B7" w14:paraId="1CD9CA45" w14:textId="77777777" w:rsidTr="008779B7">
        <w:trPr>
          <w:tblHeader/>
          <w:tblCellSpacing w:w="15" w:type="dxa"/>
        </w:trPr>
        <w:tc>
          <w:tcPr>
            <w:tcW w:w="0" w:type="auto"/>
            <w:vAlign w:val="center"/>
            <w:hideMark/>
          </w:tcPr>
          <w:p w14:paraId="0B77DECF" w14:textId="77777777" w:rsidR="008779B7" w:rsidRPr="008779B7" w:rsidRDefault="008779B7" w:rsidP="008779B7">
            <w:pPr>
              <w:spacing w:after="0" w:line="240" w:lineRule="auto"/>
              <w:jc w:val="center"/>
              <w:rPr>
                <w:rFonts w:ascii="Times New Roman" w:eastAsia="Times New Roman" w:hAnsi="Times New Roman" w:cs="Times New Roman"/>
                <w:b/>
                <w:bCs/>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Cas pratique</w:t>
            </w:r>
          </w:p>
        </w:tc>
        <w:tc>
          <w:tcPr>
            <w:tcW w:w="0" w:type="auto"/>
            <w:vAlign w:val="center"/>
            <w:hideMark/>
          </w:tcPr>
          <w:p w14:paraId="10AB5A2F" w14:textId="77777777" w:rsidR="008779B7" w:rsidRPr="008779B7" w:rsidRDefault="008779B7" w:rsidP="008779B7">
            <w:pPr>
              <w:spacing w:after="0" w:line="240" w:lineRule="auto"/>
              <w:jc w:val="center"/>
              <w:rPr>
                <w:rFonts w:ascii="Times New Roman" w:eastAsia="Times New Roman" w:hAnsi="Times New Roman" w:cs="Times New Roman"/>
                <w:b/>
                <w:bCs/>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Articles de loi</w:t>
            </w:r>
          </w:p>
        </w:tc>
        <w:tc>
          <w:tcPr>
            <w:tcW w:w="0" w:type="auto"/>
            <w:vAlign w:val="center"/>
            <w:hideMark/>
          </w:tcPr>
          <w:p w14:paraId="18AF6C48" w14:textId="77777777" w:rsidR="008779B7" w:rsidRPr="008779B7" w:rsidRDefault="008779B7" w:rsidP="008779B7">
            <w:pPr>
              <w:spacing w:after="0" w:line="240" w:lineRule="auto"/>
              <w:jc w:val="center"/>
              <w:rPr>
                <w:rFonts w:ascii="Times New Roman" w:eastAsia="Times New Roman" w:hAnsi="Times New Roman" w:cs="Times New Roman"/>
                <w:b/>
                <w:bCs/>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Résumé</w:t>
            </w:r>
          </w:p>
        </w:tc>
      </w:tr>
      <w:tr w:rsidR="008779B7" w:rsidRPr="008779B7" w14:paraId="3C7FCDE0" w14:textId="77777777" w:rsidTr="008779B7">
        <w:trPr>
          <w:tblCellSpacing w:w="15" w:type="dxa"/>
        </w:trPr>
        <w:tc>
          <w:tcPr>
            <w:tcW w:w="0" w:type="auto"/>
            <w:vAlign w:val="center"/>
            <w:hideMark/>
          </w:tcPr>
          <w:p w14:paraId="6A3170D0" w14:textId="77777777" w:rsidR="008779B7" w:rsidRPr="008779B7" w:rsidRDefault="008779B7" w:rsidP="008779B7">
            <w:pPr>
              <w:spacing w:after="0"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kern w:val="0"/>
                <w:sz w:val="24"/>
                <w:szCs w:val="24"/>
                <w:lang w:eastAsia="fr-CH"/>
                <w14:ligatures w14:val="none"/>
              </w:rPr>
              <w:t>6.5 – Préjudice durable avec invalidité</w:t>
            </w:r>
          </w:p>
        </w:tc>
        <w:tc>
          <w:tcPr>
            <w:tcW w:w="0" w:type="auto"/>
            <w:vAlign w:val="center"/>
            <w:hideMark/>
          </w:tcPr>
          <w:p w14:paraId="05C1BACD" w14:textId="77777777" w:rsidR="008779B7" w:rsidRPr="008779B7" w:rsidRDefault="008779B7" w:rsidP="008779B7">
            <w:pPr>
              <w:spacing w:after="0"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kern w:val="0"/>
                <w:sz w:val="24"/>
                <w:szCs w:val="24"/>
                <w:lang w:eastAsia="fr-CH"/>
                <w14:ligatures w14:val="none"/>
              </w:rPr>
              <w:t>Code civil suisse</w:t>
            </w:r>
          </w:p>
        </w:tc>
        <w:tc>
          <w:tcPr>
            <w:tcW w:w="0" w:type="auto"/>
            <w:vAlign w:val="center"/>
            <w:hideMark/>
          </w:tcPr>
          <w:p w14:paraId="7427F8C7" w14:textId="77777777" w:rsidR="008779B7" w:rsidRPr="008779B7" w:rsidRDefault="008779B7" w:rsidP="008779B7">
            <w:pPr>
              <w:spacing w:after="0" w:line="240" w:lineRule="auto"/>
              <w:rPr>
                <w:rFonts w:ascii="Times New Roman" w:eastAsia="Times New Roman" w:hAnsi="Times New Roman" w:cs="Times New Roman"/>
                <w:kern w:val="0"/>
                <w:sz w:val="20"/>
                <w:szCs w:val="20"/>
                <w:lang w:eastAsia="fr-CH"/>
                <w14:ligatures w14:val="none"/>
              </w:rPr>
            </w:pPr>
          </w:p>
        </w:tc>
      </w:tr>
    </w:tbl>
    <w:p w14:paraId="7158E52A" w14:textId="77777777" w:rsidR="008779B7" w:rsidRPr="008779B7" w:rsidRDefault="008779B7" w:rsidP="008779B7">
      <w:pPr>
        <w:spacing w:before="100" w:beforeAutospacing="1" w:after="100" w:afterAutospacing="1" w:line="240" w:lineRule="auto"/>
        <w:outlineLvl w:val="2"/>
        <w:rPr>
          <w:rFonts w:ascii="Times New Roman" w:eastAsia="Times New Roman" w:hAnsi="Times New Roman" w:cs="Times New Roman"/>
          <w:b/>
          <w:bCs/>
          <w:kern w:val="0"/>
          <w:sz w:val="27"/>
          <w:szCs w:val="27"/>
          <w:lang w:eastAsia="fr-CH"/>
          <w14:ligatures w14:val="none"/>
        </w:rPr>
      </w:pPr>
      <w:r w:rsidRPr="008779B7">
        <w:rPr>
          <w:rFonts w:ascii="Times New Roman" w:eastAsia="Times New Roman" w:hAnsi="Times New Roman" w:cs="Times New Roman"/>
          <w:b/>
          <w:bCs/>
          <w:kern w:val="0"/>
          <w:sz w:val="27"/>
          <w:szCs w:val="27"/>
          <w:lang w:eastAsia="fr-CH"/>
          <w14:ligatures w14:val="none"/>
        </w:rPr>
        <w:t>I – Le tort moral</w:t>
      </w:r>
    </w:p>
    <w:p w14:paraId="7A5C74AA" w14:textId="77777777" w:rsidR="008779B7" w:rsidRPr="008779B7" w:rsidRDefault="008779B7" w:rsidP="008779B7">
      <w:pPr>
        <w:spacing w:before="100" w:beforeAutospacing="1" w:after="100" w:afterAutospacing="1" w:line="240" w:lineRule="auto"/>
        <w:outlineLvl w:val="3"/>
        <w:rPr>
          <w:rFonts w:ascii="Times New Roman" w:eastAsia="Times New Roman" w:hAnsi="Times New Roman" w:cs="Times New Roman"/>
          <w:b/>
          <w:bCs/>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Cas pratique 1.1 : Souffrance psychologique après une erreur médicale</w:t>
      </w:r>
    </w:p>
    <w:p w14:paraId="47F49A10"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kern w:val="0"/>
          <w:sz w:val="24"/>
          <w:szCs w:val="24"/>
          <w:lang w:eastAsia="fr-CH"/>
          <w14:ligatures w14:val="none"/>
        </w:rPr>
        <w:t>Un patient subit une intervention chirurgicale qui ne se déroule pas comme prévu. L’erreur du médecin entraîne des complications physiques, mais aussi une détresse psychologique importante. Le patient développe une anxiété sévère et des troubles du sommeil.</w:t>
      </w:r>
    </w:p>
    <w:p w14:paraId="0DC73ED8" w14:textId="77777777" w:rsidR="008779B7" w:rsidRPr="008779B7" w:rsidRDefault="008779B7" w:rsidP="008779B7">
      <w:pPr>
        <w:numPr>
          <w:ilvl w:val="0"/>
          <w:numId w:val="33"/>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Réponse</w:t>
      </w:r>
      <w:r w:rsidRPr="008779B7">
        <w:rPr>
          <w:rFonts w:ascii="Times New Roman" w:eastAsia="Times New Roman" w:hAnsi="Times New Roman" w:cs="Times New Roman"/>
          <w:kern w:val="0"/>
          <w:sz w:val="24"/>
          <w:szCs w:val="24"/>
          <w:lang w:eastAsia="fr-CH"/>
          <w14:ligatures w14:val="none"/>
        </w:rPr>
        <w:t xml:space="preserve"> : Le tort moral est caractérisé par la souffrance psychologique causée par l’erreur médicale. Il peut être indemnisé indépendamment du préjudice physique.</w:t>
      </w:r>
    </w:p>
    <w:p w14:paraId="2FC28E94" w14:textId="77777777" w:rsidR="008779B7" w:rsidRPr="008779B7" w:rsidRDefault="008779B7" w:rsidP="008779B7">
      <w:pPr>
        <w:numPr>
          <w:ilvl w:val="0"/>
          <w:numId w:val="33"/>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Articles de loi</w:t>
      </w:r>
      <w:r w:rsidRPr="008779B7">
        <w:rPr>
          <w:rFonts w:ascii="Times New Roman" w:eastAsia="Times New Roman" w:hAnsi="Times New Roman" w:cs="Times New Roman"/>
          <w:kern w:val="0"/>
          <w:sz w:val="24"/>
          <w:szCs w:val="24"/>
          <w:lang w:eastAsia="fr-CH"/>
          <w14:ligatures w14:val="none"/>
        </w:rPr>
        <w:t xml:space="preserve"> : Articles </w:t>
      </w:r>
      <w:r w:rsidRPr="008779B7">
        <w:rPr>
          <w:rFonts w:ascii="Times New Roman" w:eastAsia="Times New Roman" w:hAnsi="Times New Roman" w:cs="Times New Roman"/>
          <w:b/>
          <w:bCs/>
          <w:kern w:val="0"/>
          <w:sz w:val="24"/>
          <w:szCs w:val="24"/>
          <w:lang w:eastAsia="fr-CH"/>
          <w14:ligatures w14:val="none"/>
        </w:rPr>
        <w:t>47 et 49 du Code des obligations suisse</w:t>
      </w:r>
      <w:r w:rsidRPr="008779B7">
        <w:rPr>
          <w:rFonts w:ascii="Times New Roman" w:eastAsia="Times New Roman" w:hAnsi="Times New Roman" w:cs="Times New Roman"/>
          <w:kern w:val="0"/>
          <w:sz w:val="24"/>
          <w:szCs w:val="24"/>
          <w:lang w:eastAsia="fr-CH"/>
          <w14:ligatures w14:val="none"/>
        </w:rPr>
        <w:t>.</w:t>
      </w:r>
    </w:p>
    <w:p w14:paraId="55E4A0C0" w14:textId="77777777" w:rsidR="008779B7" w:rsidRPr="008779B7" w:rsidRDefault="008779B7" w:rsidP="008779B7">
      <w:pPr>
        <w:numPr>
          <w:ilvl w:val="0"/>
          <w:numId w:val="33"/>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Analyse</w:t>
      </w:r>
      <w:r w:rsidRPr="008779B7">
        <w:rPr>
          <w:rFonts w:ascii="Times New Roman" w:eastAsia="Times New Roman" w:hAnsi="Times New Roman" w:cs="Times New Roman"/>
          <w:kern w:val="0"/>
          <w:sz w:val="24"/>
          <w:szCs w:val="24"/>
          <w:lang w:eastAsia="fr-CH"/>
          <w14:ligatures w14:val="none"/>
        </w:rPr>
        <w:t xml:space="preserve"> : Le tort moral est une atteinte immatérielle à la personnalité du patient. Il doit être prouvé par des expertises médicales et psychologiques.</w:t>
      </w:r>
    </w:p>
    <w:p w14:paraId="3EF7CF8D" w14:textId="77777777" w:rsidR="008779B7" w:rsidRPr="008779B7" w:rsidRDefault="008779B7" w:rsidP="008779B7">
      <w:pPr>
        <w:numPr>
          <w:ilvl w:val="0"/>
          <w:numId w:val="33"/>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Tableau récapitulatif</w:t>
      </w:r>
      <w:r w:rsidRPr="008779B7">
        <w:rPr>
          <w:rFonts w:ascii="Times New Roman" w:eastAsia="Times New Roman" w:hAnsi="Times New Roman" w:cs="Times New Roman"/>
          <w:kern w:val="0"/>
          <w:sz w:val="24"/>
          <w:szCs w:val="24"/>
          <w:lang w:eastAsia="fr-CH"/>
          <w14:ligatures w14:val="none"/>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28"/>
        <w:gridCol w:w="1667"/>
        <w:gridCol w:w="4033"/>
      </w:tblGrid>
      <w:tr w:rsidR="008779B7" w:rsidRPr="008779B7" w14:paraId="20E0AB93" w14:textId="77777777" w:rsidTr="008779B7">
        <w:trPr>
          <w:tblHeader/>
          <w:tblCellSpacing w:w="15" w:type="dxa"/>
        </w:trPr>
        <w:tc>
          <w:tcPr>
            <w:tcW w:w="0" w:type="auto"/>
            <w:vAlign w:val="center"/>
            <w:hideMark/>
          </w:tcPr>
          <w:p w14:paraId="43E219FB" w14:textId="77777777" w:rsidR="008779B7" w:rsidRPr="008779B7" w:rsidRDefault="008779B7" w:rsidP="008779B7">
            <w:pPr>
              <w:spacing w:after="0" w:line="240" w:lineRule="auto"/>
              <w:jc w:val="center"/>
              <w:rPr>
                <w:rFonts w:ascii="Times New Roman" w:eastAsia="Times New Roman" w:hAnsi="Times New Roman" w:cs="Times New Roman"/>
                <w:b/>
                <w:bCs/>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Cas pratique</w:t>
            </w:r>
          </w:p>
        </w:tc>
        <w:tc>
          <w:tcPr>
            <w:tcW w:w="0" w:type="auto"/>
            <w:vAlign w:val="center"/>
            <w:hideMark/>
          </w:tcPr>
          <w:p w14:paraId="540B9025" w14:textId="77777777" w:rsidR="008779B7" w:rsidRPr="008779B7" w:rsidRDefault="008779B7" w:rsidP="008779B7">
            <w:pPr>
              <w:spacing w:after="0" w:line="240" w:lineRule="auto"/>
              <w:jc w:val="center"/>
              <w:rPr>
                <w:rFonts w:ascii="Times New Roman" w:eastAsia="Times New Roman" w:hAnsi="Times New Roman" w:cs="Times New Roman"/>
                <w:b/>
                <w:bCs/>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Articles de loi</w:t>
            </w:r>
          </w:p>
        </w:tc>
        <w:tc>
          <w:tcPr>
            <w:tcW w:w="0" w:type="auto"/>
            <w:vAlign w:val="center"/>
            <w:hideMark/>
          </w:tcPr>
          <w:p w14:paraId="5AA5ACBD" w14:textId="77777777" w:rsidR="008779B7" w:rsidRPr="008779B7" w:rsidRDefault="008779B7" w:rsidP="008779B7">
            <w:pPr>
              <w:spacing w:after="0" w:line="240" w:lineRule="auto"/>
              <w:jc w:val="center"/>
              <w:rPr>
                <w:rFonts w:ascii="Times New Roman" w:eastAsia="Times New Roman" w:hAnsi="Times New Roman" w:cs="Times New Roman"/>
                <w:b/>
                <w:bCs/>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Résumé</w:t>
            </w:r>
          </w:p>
        </w:tc>
      </w:tr>
      <w:tr w:rsidR="008779B7" w:rsidRPr="008779B7" w14:paraId="3B4BDD54" w14:textId="77777777" w:rsidTr="008779B7">
        <w:trPr>
          <w:tblCellSpacing w:w="15" w:type="dxa"/>
        </w:trPr>
        <w:tc>
          <w:tcPr>
            <w:tcW w:w="0" w:type="auto"/>
            <w:vAlign w:val="center"/>
            <w:hideMark/>
          </w:tcPr>
          <w:p w14:paraId="6622E2DE" w14:textId="77777777" w:rsidR="008779B7" w:rsidRPr="008779B7" w:rsidRDefault="008779B7" w:rsidP="008779B7">
            <w:pPr>
              <w:spacing w:after="0"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kern w:val="0"/>
                <w:sz w:val="24"/>
                <w:szCs w:val="24"/>
                <w:lang w:eastAsia="fr-CH"/>
                <w14:ligatures w14:val="none"/>
              </w:rPr>
              <w:t>1.1 – Souffrance psychologique</w:t>
            </w:r>
          </w:p>
        </w:tc>
        <w:tc>
          <w:tcPr>
            <w:tcW w:w="0" w:type="auto"/>
            <w:vAlign w:val="center"/>
            <w:hideMark/>
          </w:tcPr>
          <w:p w14:paraId="63664EE4" w14:textId="77777777" w:rsidR="008779B7" w:rsidRPr="008779B7" w:rsidRDefault="008779B7" w:rsidP="008779B7">
            <w:pPr>
              <w:spacing w:after="0"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kern w:val="0"/>
                <w:sz w:val="24"/>
                <w:szCs w:val="24"/>
                <w:lang w:eastAsia="fr-CH"/>
                <w14:ligatures w14:val="none"/>
              </w:rPr>
              <w:t>Art. 47 et 49 CO</w:t>
            </w:r>
          </w:p>
        </w:tc>
        <w:tc>
          <w:tcPr>
            <w:tcW w:w="0" w:type="auto"/>
            <w:vAlign w:val="center"/>
            <w:hideMark/>
          </w:tcPr>
          <w:p w14:paraId="66ED5E69" w14:textId="77777777" w:rsidR="008779B7" w:rsidRPr="008779B7" w:rsidRDefault="008779B7" w:rsidP="008779B7">
            <w:pPr>
              <w:spacing w:after="0"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kern w:val="0"/>
                <w:sz w:val="24"/>
                <w:szCs w:val="24"/>
                <w:lang w:eastAsia="fr-CH"/>
                <w14:ligatures w14:val="none"/>
              </w:rPr>
              <w:t>Tort moral causé par une erreur médicale</w:t>
            </w:r>
          </w:p>
        </w:tc>
      </w:tr>
    </w:tbl>
    <w:p w14:paraId="6876AAAB" w14:textId="77777777" w:rsidR="008779B7" w:rsidRPr="008779B7" w:rsidRDefault="008779B7" w:rsidP="008779B7">
      <w:pPr>
        <w:spacing w:before="100" w:beforeAutospacing="1" w:after="100" w:afterAutospacing="1" w:line="240" w:lineRule="auto"/>
        <w:outlineLvl w:val="2"/>
        <w:rPr>
          <w:rFonts w:ascii="Times New Roman" w:eastAsia="Times New Roman" w:hAnsi="Times New Roman" w:cs="Times New Roman"/>
          <w:b/>
          <w:bCs/>
          <w:kern w:val="0"/>
          <w:sz w:val="27"/>
          <w:szCs w:val="27"/>
          <w:lang w:eastAsia="fr-CH"/>
          <w14:ligatures w14:val="none"/>
        </w:rPr>
      </w:pPr>
      <w:r w:rsidRPr="008779B7">
        <w:rPr>
          <w:rFonts w:ascii="Times New Roman" w:eastAsia="Times New Roman" w:hAnsi="Times New Roman" w:cs="Times New Roman"/>
          <w:b/>
          <w:bCs/>
          <w:kern w:val="0"/>
          <w:sz w:val="27"/>
          <w:szCs w:val="27"/>
          <w:lang w:eastAsia="fr-CH"/>
          <w14:ligatures w14:val="none"/>
        </w:rPr>
        <w:t>II – Le but de l’indemnité pour tort moral</w:t>
      </w:r>
    </w:p>
    <w:p w14:paraId="2B7E4314" w14:textId="77777777" w:rsidR="008779B7" w:rsidRPr="008779B7" w:rsidRDefault="008779B7" w:rsidP="008779B7">
      <w:pPr>
        <w:spacing w:before="100" w:beforeAutospacing="1" w:after="100" w:afterAutospacing="1" w:line="240" w:lineRule="auto"/>
        <w:outlineLvl w:val="3"/>
        <w:rPr>
          <w:rFonts w:ascii="Times New Roman" w:eastAsia="Times New Roman" w:hAnsi="Times New Roman" w:cs="Times New Roman"/>
          <w:b/>
          <w:bCs/>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Cas pratique 2.1 : Compensation financière pour un traumatisme</w:t>
      </w:r>
    </w:p>
    <w:p w14:paraId="25E031C1"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kern w:val="0"/>
          <w:sz w:val="24"/>
          <w:szCs w:val="24"/>
          <w:lang w:eastAsia="fr-CH"/>
          <w14:ligatures w14:val="none"/>
        </w:rPr>
        <w:t>Un patient victime d’une faute médicale grave réclame une indemnité pour tort moral. Il argue que la souffrance psychologique qu’il endure affecte sa qualité de vie.</w:t>
      </w:r>
    </w:p>
    <w:p w14:paraId="24E18AA3" w14:textId="77777777" w:rsidR="008779B7" w:rsidRPr="008779B7" w:rsidRDefault="008779B7" w:rsidP="008779B7">
      <w:pPr>
        <w:numPr>
          <w:ilvl w:val="0"/>
          <w:numId w:val="34"/>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Réponse</w:t>
      </w:r>
      <w:r w:rsidRPr="008779B7">
        <w:rPr>
          <w:rFonts w:ascii="Times New Roman" w:eastAsia="Times New Roman" w:hAnsi="Times New Roman" w:cs="Times New Roman"/>
          <w:kern w:val="0"/>
          <w:sz w:val="24"/>
          <w:szCs w:val="24"/>
          <w:lang w:eastAsia="fr-CH"/>
          <w14:ligatures w14:val="none"/>
        </w:rPr>
        <w:t xml:space="preserve"> : L’indemnité pour tort moral vise à compenser la souffrance morale et psychologique du patient.</w:t>
      </w:r>
    </w:p>
    <w:p w14:paraId="7B905AAA" w14:textId="77777777" w:rsidR="008779B7" w:rsidRPr="008779B7" w:rsidRDefault="008779B7" w:rsidP="008779B7">
      <w:pPr>
        <w:numPr>
          <w:ilvl w:val="0"/>
          <w:numId w:val="34"/>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lastRenderedPageBreak/>
        <w:t>Articles de loi</w:t>
      </w:r>
      <w:r w:rsidRPr="008779B7">
        <w:rPr>
          <w:rFonts w:ascii="Times New Roman" w:eastAsia="Times New Roman" w:hAnsi="Times New Roman" w:cs="Times New Roman"/>
          <w:kern w:val="0"/>
          <w:sz w:val="24"/>
          <w:szCs w:val="24"/>
          <w:lang w:eastAsia="fr-CH"/>
          <w14:ligatures w14:val="none"/>
        </w:rPr>
        <w:t xml:space="preserve"> : Articles </w:t>
      </w:r>
      <w:r w:rsidRPr="008779B7">
        <w:rPr>
          <w:rFonts w:ascii="Times New Roman" w:eastAsia="Times New Roman" w:hAnsi="Times New Roman" w:cs="Times New Roman"/>
          <w:b/>
          <w:bCs/>
          <w:kern w:val="0"/>
          <w:sz w:val="24"/>
          <w:szCs w:val="24"/>
          <w:lang w:eastAsia="fr-CH"/>
          <w14:ligatures w14:val="none"/>
        </w:rPr>
        <w:t>47 et 49 CO</w:t>
      </w:r>
      <w:r w:rsidRPr="008779B7">
        <w:rPr>
          <w:rFonts w:ascii="Times New Roman" w:eastAsia="Times New Roman" w:hAnsi="Times New Roman" w:cs="Times New Roman"/>
          <w:kern w:val="0"/>
          <w:sz w:val="24"/>
          <w:szCs w:val="24"/>
          <w:lang w:eastAsia="fr-CH"/>
          <w14:ligatures w14:val="none"/>
        </w:rPr>
        <w:t>.</w:t>
      </w:r>
    </w:p>
    <w:p w14:paraId="6BF32896" w14:textId="77777777" w:rsidR="008779B7" w:rsidRPr="008779B7" w:rsidRDefault="008779B7" w:rsidP="008779B7">
      <w:pPr>
        <w:numPr>
          <w:ilvl w:val="0"/>
          <w:numId w:val="34"/>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Analyse</w:t>
      </w:r>
      <w:r w:rsidRPr="008779B7">
        <w:rPr>
          <w:rFonts w:ascii="Times New Roman" w:eastAsia="Times New Roman" w:hAnsi="Times New Roman" w:cs="Times New Roman"/>
          <w:kern w:val="0"/>
          <w:sz w:val="24"/>
          <w:szCs w:val="24"/>
          <w:lang w:eastAsia="fr-CH"/>
          <w14:ligatures w14:val="none"/>
        </w:rPr>
        <w:t xml:space="preserve"> : L’indemnité pour tort moral n’a pas pour but de réparer un dommage matériel, mais d’apporter une compensation pour la douleur morale.</w:t>
      </w:r>
    </w:p>
    <w:p w14:paraId="6A68F402" w14:textId="77777777" w:rsidR="008779B7" w:rsidRPr="008779B7" w:rsidRDefault="008779B7" w:rsidP="008779B7">
      <w:pPr>
        <w:numPr>
          <w:ilvl w:val="0"/>
          <w:numId w:val="34"/>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Tableau récapitulatif</w:t>
      </w:r>
      <w:r w:rsidRPr="008779B7">
        <w:rPr>
          <w:rFonts w:ascii="Times New Roman" w:eastAsia="Times New Roman" w:hAnsi="Times New Roman" w:cs="Times New Roman"/>
          <w:kern w:val="0"/>
          <w:sz w:val="24"/>
          <w:szCs w:val="24"/>
          <w:lang w:eastAsia="fr-CH"/>
          <w14:ligatures w14:val="none"/>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021"/>
        <w:gridCol w:w="1667"/>
        <w:gridCol w:w="3748"/>
      </w:tblGrid>
      <w:tr w:rsidR="008779B7" w:rsidRPr="008779B7" w14:paraId="0F8C8BFA" w14:textId="77777777" w:rsidTr="008779B7">
        <w:trPr>
          <w:tblHeader/>
          <w:tblCellSpacing w:w="15" w:type="dxa"/>
        </w:trPr>
        <w:tc>
          <w:tcPr>
            <w:tcW w:w="0" w:type="auto"/>
            <w:vAlign w:val="center"/>
            <w:hideMark/>
          </w:tcPr>
          <w:p w14:paraId="5765D1C2" w14:textId="77777777" w:rsidR="008779B7" w:rsidRPr="008779B7" w:rsidRDefault="008779B7" w:rsidP="008779B7">
            <w:pPr>
              <w:spacing w:after="0" w:line="240" w:lineRule="auto"/>
              <w:jc w:val="center"/>
              <w:rPr>
                <w:rFonts w:ascii="Times New Roman" w:eastAsia="Times New Roman" w:hAnsi="Times New Roman" w:cs="Times New Roman"/>
                <w:b/>
                <w:bCs/>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Cas pratique</w:t>
            </w:r>
          </w:p>
        </w:tc>
        <w:tc>
          <w:tcPr>
            <w:tcW w:w="0" w:type="auto"/>
            <w:vAlign w:val="center"/>
            <w:hideMark/>
          </w:tcPr>
          <w:p w14:paraId="782CE1EE" w14:textId="77777777" w:rsidR="008779B7" w:rsidRPr="008779B7" w:rsidRDefault="008779B7" w:rsidP="008779B7">
            <w:pPr>
              <w:spacing w:after="0" w:line="240" w:lineRule="auto"/>
              <w:jc w:val="center"/>
              <w:rPr>
                <w:rFonts w:ascii="Times New Roman" w:eastAsia="Times New Roman" w:hAnsi="Times New Roman" w:cs="Times New Roman"/>
                <w:b/>
                <w:bCs/>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Articles de loi</w:t>
            </w:r>
          </w:p>
        </w:tc>
        <w:tc>
          <w:tcPr>
            <w:tcW w:w="0" w:type="auto"/>
            <w:vAlign w:val="center"/>
            <w:hideMark/>
          </w:tcPr>
          <w:p w14:paraId="6CE45B39" w14:textId="77777777" w:rsidR="008779B7" w:rsidRPr="008779B7" w:rsidRDefault="008779B7" w:rsidP="008779B7">
            <w:pPr>
              <w:spacing w:after="0" w:line="240" w:lineRule="auto"/>
              <w:jc w:val="center"/>
              <w:rPr>
                <w:rFonts w:ascii="Times New Roman" w:eastAsia="Times New Roman" w:hAnsi="Times New Roman" w:cs="Times New Roman"/>
                <w:b/>
                <w:bCs/>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Résumé</w:t>
            </w:r>
          </w:p>
        </w:tc>
      </w:tr>
      <w:tr w:rsidR="008779B7" w:rsidRPr="008779B7" w14:paraId="201A8A7E" w14:textId="77777777" w:rsidTr="008779B7">
        <w:trPr>
          <w:tblCellSpacing w:w="15" w:type="dxa"/>
        </w:trPr>
        <w:tc>
          <w:tcPr>
            <w:tcW w:w="0" w:type="auto"/>
            <w:vAlign w:val="center"/>
            <w:hideMark/>
          </w:tcPr>
          <w:p w14:paraId="1DE2A973" w14:textId="77777777" w:rsidR="008779B7" w:rsidRPr="008779B7" w:rsidRDefault="008779B7" w:rsidP="008779B7">
            <w:pPr>
              <w:spacing w:after="0"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kern w:val="0"/>
                <w:sz w:val="24"/>
                <w:szCs w:val="24"/>
                <w:lang w:eastAsia="fr-CH"/>
                <w14:ligatures w14:val="none"/>
              </w:rPr>
              <w:t>2.1 – Compensation financière</w:t>
            </w:r>
          </w:p>
        </w:tc>
        <w:tc>
          <w:tcPr>
            <w:tcW w:w="0" w:type="auto"/>
            <w:vAlign w:val="center"/>
            <w:hideMark/>
          </w:tcPr>
          <w:p w14:paraId="1B8B5A06" w14:textId="77777777" w:rsidR="008779B7" w:rsidRPr="008779B7" w:rsidRDefault="008779B7" w:rsidP="008779B7">
            <w:pPr>
              <w:spacing w:after="0"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kern w:val="0"/>
                <w:sz w:val="24"/>
                <w:szCs w:val="24"/>
                <w:lang w:eastAsia="fr-CH"/>
                <w14:ligatures w14:val="none"/>
              </w:rPr>
              <w:t>Art. 47 et 49 CO</w:t>
            </w:r>
          </w:p>
        </w:tc>
        <w:tc>
          <w:tcPr>
            <w:tcW w:w="0" w:type="auto"/>
            <w:vAlign w:val="center"/>
            <w:hideMark/>
          </w:tcPr>
          <w:p w14:paraId="4C096954" w14:textId="77777777" w:rsidR="008779B7" w:rsidRPr="008779B7" w:rsidRDefault="008779B7" w:rsidP="008779B7">
            <w:pPr>
              <w:spacing w:after="0"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kern w:val="0"/>
                <w:sz w:val="24"/>
                <w:szCs w:val="24"/>
                <w:lang w:eastAsia="fr-CH"/>
                <w14:ligatures w14:val="none"/>
              </w:rPr>
              <w:t>Indemnisation pour souffrance morale</w:t>
            </w:r>
          </w:p>
        </w:tc>
      </w:tr>
    </w:tbl>
    <w:p w14:paraId="353FC87C" w14:textId="77777777" w:rsidR="008779B7" w:rsidRPr="008779B7" w:rsidRDefault="008779B7" w:rsidP="008779B7">
      <w:pPr>
        <w:spacing w:before="100" w:beforeAutospacing="1" w:after="100" w:afterAutospacing="1" w:line="240" w:lineRule="auto"/>
        <w:outlineLvl w:val="2"/>
        <w:rPr>
          <w:rFonts w:ascii="Times New Roman" w:eastAsia="Times New Roman" w:hAnsi="Times New Roman" w:cs="Times New Roman"/>
          <w:b/>
          <w:bCs/>
          <w:kern w:val="0"/>
          <w:sz w:val="27"/>
          <w:szCs w:val="27"/>
          <w:lang w:eastAsia="fr-CH"/>
          <w14:ligatures w14:val="none"/>
        </w:rPr>
      </w:pPr>
      <w:r w:rsidRPr="008779B7">
        <w:rPr>
          <w:rFonts w:ascii="Times New Roman" w:eastAsia="Times New Roman" w:hAnsi="Times New Roman" w:cs="Times New Roman"/>
          <w:b/>
          <w:bCs/>
          <w:kern w:val="0"/>
          <w:sz w:val="27"/>
          <w:szCs w:val="27"/>
          <w:lang w:eastAsia="fr-CH"/>
          <w14:ligatures w14:val="none"/>
        </w:rPr>
        <w:t>III – Les principes relatifs à la fixation du montant de l’indemnité pour tort moral</w:t>
      </w:r>
    </w:p>
    <w:p w14:paraId="6AFB062D" w14:textId="77777777" w:rsidR="008779B7" w:rsidRPr="008779B7" w:rsidRDefault="008779B7" w:rsidP="008779B7">
      <w:pPr>
        <w:spacing w:before="100" w:beforeAutospacing="1" w:after="100" w:afterAutospacing="1" w:line="240" w:lineRule="auto"/>
        <w:outlineLvl w:val="3"/>
        <w:rPr>
          <w:rFonts w:ascii="Times New Roman" w:eastAsia="Times New Roman" w:hAnsi="Times New Roman" w:cs="Times New Roman"/>
          <w:b/>
          <w:bCs/>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Cas pratique 3.1 : Évaluation du montant en fonction de la gravité du préjudice</w:t>
      </w:r>
    </w:p>
    <w:p w14:paraId="3B28D0FA"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kern w:val="0"/>
          <w:sz w:val="24"/>
          <w:szCs w:val="24"/>
          <w:lang w:eastAsia="fr-CH"/>
          <w14:ligatures w14:val="none"/>
        </w:rPr>
        <w:t>Un patient ayant subi une faute médicale grave demande une indemnisation. Le tribunal doit fixer le montant en fonction de la gravité du préjudice.</w:t>
      </w:r>
    </w:p>
    <w:p w14:paraId="27E5DE90" w14:textId="77777777" w:rsidR="008779B7" w:rsidRPr="008779B7" w:rsidRDefault="008779B7" w:rsidP="008779B7">
      <w:pPr>
        <w:numPr>
          <w:ilvl w:val="0"/>
          <w:numId w:val="35"/>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Réponse</w:t>
      </w:r>
      <w:r w:rsidRPr="008779B7">
        <w:rPr>
          <w:rFonts w:ascii="Times New Roman" w:eastAsia="Times New Roman" w:hAnsi="Times New Roman" w:cs="Times New Roman"/>
          <w:kern w:val="0"/>
          <w:sz w:val="24"/>
          <w:szCs w:val="24"/>
          <w:lang w:eastAsia="fr-CH"/>
          <w14:ligatures w14:val="none"/>
        </w:rPr>
        <w:t xml:space="preserve"> : Le montant de l’indemnité dépend de la gravité du préjudice et de son impact sur la vie du patient.</w:t>
      </w:r>
    </w:p>
    <w:p w14:paraId="389808B0" w14:textId="77777777" w:rsidR="008779B7" w:rsidRPr="008779B7" w:rsidRDefault="008779B7" w:rsidP="008779B7">
      <w:pPr>
        <w:numPr>
          <w:ilvl w:val="0"/>
          <w:numId w:val="35"/>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Articles de loi</w:t>
      </w:r>
      <w:r w:rsidRPr="008779B7">
        <w:rPr>
          <w:rFonts w:ascii="Times New Roman" w:eastAsia="Times New Roman" w:hAnsi="Times New Roman" w:cs="Times New Roman"/>
          <w:kern w:val="0"/>
          <w:sz w:val="24"/>
          <w:szCs w:val="24"/>
          <w:lang w:eastAsia="fr-CH"/>
          <w14:ligatures w14:val="none"/>
        </w:rPr>
        <w:t xml:space="preserve"> : Jurisprudence suisse sur la fixation des montants.</w:t>
      </w:r>
    </w:p>
    <w:p w14:paraId="3B9221A1" w14:textId="77777777" w:rsidR="008779B7" w:rsidRPr="008779B7" w:rsidRDefault="008779B7" w:rsidP="008779B7">
      <w:pPr>
        <w:numPr>
          <w:ilvl w:val="0"/>
          <w:numId w:val="35"/>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Analyse</w:t>
      </w:r>
      <w:r w:rsidRPr="008779B7">
        <w:rPr>
          <w:rFonts w:ascii="Times New Roman" w:eastAsia="Times New Roman" w:hAnsi="Times New Roman" w:cs="Times New Roman"/>
          <w:kern w:val="0"/>
          <w:sz w:val="24"/>
          <w:szCs w:val="24"/>
          <w:lang w:eastAsia="fr-CH"/>
          <w14:ligatures w14:val="none"/>
        </w:rPr>
        <w:t xml:space="preserve"> : Les tribunaux prennent en compte la durée de la souffrance, son intensité et ses conséquences sur la vie du patient.</w:t>
      </w:r>
    </w:p>
    <w:p w14:paraId="7020E139" w14:textId="77777777" w:rsidR="008779B7" w:rsidRPr="008779B7" w:rsidRDefault="008779B7" w:rsidP="008779B7">
      <w:pPr>
        <w:numPr>
          <w:ilvl w:val="0"/>
          <w:numId w:val="35"/>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Tableau récapitulatif</w:t>
      </w:r>
      <w:r w:rsidRPr="008779B7">
        <w:rPr>
          <w:rFonts w:ascii="Times New Roman" w:eastAsia="Times New Roman" w:hAnsi="Times New Roman" w:cs="Times New Roman"/>
          <w:kern w:val="0"/>
          <w:sz w:val="24"/>
          <w:szCs w:val="24"/>
          <w:lang w:eastAsia="fr-CH"/>
          <w14:ligatures w14:val="none"/>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62"/>
        <w:gridCol w:w="2027"/>
        <w:gridCol w:w="3941"/>
      </w:tblGrid>
      <w:tr w:rsidR="008779B7" w:rsidRPr="008779B7" w14:paraId="2E2F4250" w14:textId="77777777" w:rsidTr="008779B7">
        <w:trPr>
          <w:tblHeader/>
          <w:tblCellSpacing w:w="15" w:type="dxa"/>
        </w:trPr>
        <w:tc>
          <w:tcPr>
            <w:tcW w:w="0" w:type="auto"/>
            <w:vAlign w:val="center"/>
            <w:hideMark/>
          </w:tcPr>
          <w:p w14:paraId="386D2957" w14:textId="77777777" w:rsidR="008779B7" w:rsidRPr="008779B7" w:rsidRDefault="008779B7" w:rsidP="008779B7">
            <w:pPr>
              <w:spacing w:after="0" w:line="240" w:lineRule="auto"/>
              <w:jc w:val="center"/>
              <w:rPr>
                <w:rFonts w:ascii="Times New Roman" w:eastAsia="Times New Roman" w:hAnsi="Times New Roman" w:cs="Times New Roman"/>
                <w:b/>
                <w:bCs/>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Cas pratique</w:t>
            </w:r>
          </w:p>
        </w:tc>
        <w:tc>
          <w:tcPr>
            <w:tcW w:w="0" w:type="auto"/>
            <w:vAlign w:val="center"/>
            <w:hideMark/>
          </w:tcPr>
          <w:p w14:paraId="4ED7BC28" w14:textId="77777777" w:rsidR="008779B7" w:rsidRPr="008779B7" w:rsidRDefault="008779B7" w:rsidP="008779B7">
            <w:pPr>
              <w:spacing w:after="0" w:line="240" w:lineRule="auto"/>
              <w:jc w:val="center"/>
              <w:rPr>
                <w:rFonts w:ascii="Times New Roman" w:eastAsia="Times New Roman" w:hAnsi="Times New Roman" w:cs="Times New Roman"/>
                <w:b/>
                <w:bCs/>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Articles de loi</w:t>
            </w:r>
          </w:p>
        </w:tc>
        <w:tc>
          <w:tcPr>
            <w:tcW w:w="0" w:type="auto"/>
            <w:vAlign w:val="center"/>
            <w:hideMark/>
          </w:tcPr>
          <w:p w14:paraId="455A244C" w14:textId="77777777" w:rsidR="008779B7" w:rsidRPr="008779B7" w:rsidRDefault="008779B7" w:rsidP="008779B7">
            <w:pPr>
              <w:spacing w:after="0" w:line="240" w:lineRule="auto"/>
              <w:jc w:val="center"/>
              <w:rPr>
                <w:rFonts w:ascii="Times New Roman" w:eastAsia="Times New Roman" w:hAnsi="Times New Roman" w:cs="Times New Roman"/>
                <w:b/>
                <w:bCs/>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Résumé</w:t>
            </w:r>
          </w:p>
        </w:tc>
      </w:tr>
      <w:tr w:rsidR="008779B7" w:rsidRPr="008779B7" w14:paraId="53B1220C" w14:textId="77777777" w:rsidTr="008779B7">
        <w:trPr>
          <w:tblCellSpacing w:w="15" w:type="dxa"/>
        </w:trPr>
        <w:tc>
          <w:tcPr>
            <w:tcW w:w="0" w:type="auto"/>
            <w:vAlign w:val="center"/>
            <w:hideMark/>
          </w:tcPr>
          <w:p w14:paraId="660FD492" w14:textId="77777777" w:rsidR="008779B7" w:rsidRPr="008779B7" w:rsidRDefault="008779B7" w:rsidP="008779B7">
            <w:pPr>
              <w:spacing w:after="0"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kern w:val="0"/>
                <w:sz w:val="24"/>
                <w:szCs w:val="24"/>
                <w:lang w:eastAsia="fr-CH"/>
                <w14:ligatures w14:val="none"/>
              </w:rPr>
              <w:t>3.1 – Fixation du montant</w:t>
            </w:r>
          </w:p>
        </w:tc>
        <w:tc>
          <w:tcPr>
            <w:tcW w:w="0" w:type="auto"/>
            <w:vAlign w:val="center"/>
            <w:hideMark/>
          </w:tcPr>
          <w:p w14:paraId="085AD942" w14:textId="77777777" w:rsidR="008779B7" w:rsidRPr="008779B7" w:rsidRDefault="008779B7" w:rsidP="008779B7">
            <w:pPr>
              <w:spacing w:after="0"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kern w:val="0"/>
                <w:sz w:val="24"/>
                <w:szCs w:val="24"/>
                <w:lang w:eastAsia="fr-CH"/>
                <w14:ligatures w14:val="none"/>
              </w:rPr>
              <w:t>Jurisprudence suisse</w:t>
            </w:r>
          </w:p>
        </w:tc>
        <w:tc>
          <w:tcPr>
            <w:tcW w:w="0" w:type="auto"/>
            <w:vAlign w:val="center"/>
            <w:hideMark/>
          </w:tcPr>
          <w:p w14:paraId="204D61E4" w14:textId="77777777" w:rsidR="008779B7" w:rsidRPr="008779B7" w:rsidRDefault="008779B7" w:rsidP="008779B7">
            <w:pPr>
              <w:spacing w:after="0"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kern w:val="0"/>
                <w:sz w:val="24"/>
                <w:szCs w:val="24"/>
                <w:lang w:eastAsia="fr-CH"/>
                <w14:ligatures w14:val="none"/>
              </w:rPr>
              <w:t>Montant basé sur la gravité du préjudice</w:t>
            </w:r>
          </w:p>
        </w:tc>
      </w:tr>
    </w:tbl>
    <w:p w14:paraId="4D74055E" w14:textId="77777777" w:rsidR="008779B7" w:rsidRPr="008779B7" w:rsidRDefault="008779B7" w:rsidP="008779B7">
      <w:pPr>
        <w:spacing w:before="100" w:beforeAutospacing="1" w:after="100" w:afterAutospacing="1" w:line="240" w:lineRule="auto"/>
        <w:outlineLvl w:val="2"/>
        <w:rPr>
          <w:rFonts w:ascii="Times New Roman" w:eastAsia="Times New Roman" w:hAnsi="Times New Roman" w:cs="Times New Roman"/>
          <w:b/>
          <w:bCs/>
          <w:kern w:val="0"/>
          <w:sz w:val="27"/>
          <w:szCs w:val="27"/>
          <w:lang w:eastAsia="fr-CH"/>
          <w14:ligatures w14:val="none"/>
        </w:rPr>
      </w:pPr>
      <w:r w:rsidRPr="008779B7">
        <w:rPr>
          <w:rFonts w:ascii="Times New Roman" w:eastAsia="Times New Roman" w:hAnsi="Times New Roman" w:cs="Times New Roman"/>
          <w:b/>
          <w:bCs/>
          <w:kern w:val="0"/>
          <w:sz w:val="27"/>
          <w:szCs w:val="27"/>
          <w:lang w:eastAsia="fr-CH"/>
          <w14:ligatures w14:val="none"/>
        </w:rPr>
        <w:t>IV – La violation du contrat</w:t>
      </w:r>
    </w:p>
    <w:p w14:paraId="76FECD46" w14:textId="77777777" w:rsidR="008779B7" w:rsidRPr="008779B7" w:rsidRDefault="008779B7" w:rsidP="008779B7">
      <w:pPr>
        <w:spacing w:before="100" w:beforeAutospacing="1" w:after="100" w:afterAutospacing="1" w:line="240" w:lineRule="auto"/>
        <w:outlineLvl w:val="3"/>
        <w:rPr>
          <w:rFonts w:ascii="Times New Roman" w:eastAsia="Times New Roman" w:hAnsi="Times New Roman" w:cs="Times New Roman"/>
          <w:b/>
          <w:bCs/>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Cas pratique 4.1 : Non-respect des engagements médicaux</w:t>
      </w:r>
    </w:p>
    <w:p w14:paraId="2815E660"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kern w:val="0"/>
          <w:sz w:val="24"/>
          <w:szCs w:val="24"/>
          <w:lang w:eastAsia="fr-CH"/>
          <w14:ligatures w14:val="none"/>
        </w:rPr>
        <w:t>Un hôpital privé s’engage à fournir un suivi post-opératoire détaillé, mais ne respecte pas cet engagement. Le patient subit des complications.</w:t>
      </w:r>
    </w:p>
    <w:p w14:paraId="6B33B2BC" w14:textId="77777777" w:rsidR="008779B7" w:rsidRPr="008779B7" w:rsidRDefault="008779B7" w:rsidP="008779B7">
      <w:pPr>
        <w:numPr>
          <w:ilvl w:val="0"/>
          <w:numId w:val="36"/>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Réponse</w:t>
      </w:r>
      <w:r w:rsidRPr="008779B7">
        <w:rPr>
          <w:rFonts w:ascii="Times New Roman" w:eastAsia="Times New Roman" w:hAnsi="Times New Roman" w:cs="Times New Roman"/>
          <w:kern w:val="0"/>
          <w:sz w:val="24"/>
          <w:szCs w:val="24"/>
          <w:lang w:eastAsia="fr-CH"/>
          <w14:ligatures w14:val="none"/>
        </w:rPr>
        <w:t xml:space="preserve"> : La violation du contrat engage la responsabilité contractuelle de l’établissement.</w:t>
      </w:r>
    </w:p>
    <w:p w14:paraId="395CC98A" w14:textId="77777777" w:rsidR="008779B7" w:rsidRPr="008779B7" w:rsidRDefault="008779B7" w:rsidP="008779B7">
      <w:pPr>
        <w:numPr>
          <w:ilvl w:val="0"/>
          <w:numId w:val="36"/>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Articles de loi</w:t>
      </w:r>
      <w:r w:rsidRPr="008779B7">
        <w:rPr>
          <w:rFonts w:ascii="Times New Roman" w:eastAsia="Times New Roman" w:hAnsi="Times New Roman" w:cs="Times New Roman"/>
          <w:kern w:val="0"/>
          <w:sz w:val="24"/>
          <w:szCs w:val="24"/>
          <w:lang w:eastAsia="fr-CH"/>
          <w14:ligatures w14:val="none"/>
        </w:rPr>
        <w:t xml:space="preserve"> : Code civil suisse sur la responsabilité contractuelle.</w:t>
      </w:r>
    </w:p>
    <w:p w14:paraId="37AC74B2" w14:textId="77777777" w:rsidR="008779B7" w:rsidRPr="008779B7" w:rsidRDefault="008779B7" w:rsidP="008779B7">
      <w:pPr>
        <w:numPr>
          <w:ilvl w:val="0"/>
          <w:numId w:val="36"/>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Analyse</w:t>
      </w:r>
      <w:r w:rsidRPr="008779B7">
        <w:rPr>
          <w:rFonts w:ascii="Times New Roman" w:eastAsia="Times New Roman" w:hAnsi="Times New Roman" w:cs="Times New Roman"/>
          <w:kern w:val="0"/>
          <w:sz w:val="24"/>
          <w:szCs w:val="24"/>
          <w:lang w:eastAsia="fr-CH"/>
          <w14:ligatures w14:val="none"/>
        </w:rPr>
        <w:t xml:space="preserve"> : Le non-respect des engagements contractuels ouvre droit à une indemnisation.</w:t>
      </w:r>
    </w:p>
    <w:p w14:paraId="6E05A807" w14:textId="77777777" w:rsidR="008779B7" w:rsidRPr="008779B7" w:rsidRDefault="008779B7" w:rsidP="008779B7">
      <w:pPr>
        <w:numPr>
          <w:ilvl w:val="0"/>
          <w:numId w:val="36"/>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Tableau récapitulatif</w:t>
      </w:r>
      <w:r w:rsidRPr="008779B7">
        <w:rPr>
          <w:rFonts w:ascii="Times New Roman" w:eastAsia="Times New Roman" w:hAnsi="Times New Roman" w:cs="Times New Roman"/>
          <w:kern w:val="0"/>
          <w:sz w:val="24"/>
          <w:szCs w:val="24"/>
          <w:lang w:eastAsia="fr-CH"/>
          <w14:ligatures w14:val="none"/>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48"/>
        <w:gridCol w:w="1687"/>
        <w:gridCol w:w="3934"/>
      </w:tblGrid>
      <w:tr w:rsidR="008779B7" w:rsidRPr="008779B7" w14:paraId="76B90FBA" w14:textId="77777777" w:rsidTr="008779B7">
        <w:trPr>
          <w:tblHeader/>
          <w:tblCellSpacing w:w="15" w:type="dxa"/>
        </w:trPr>
        <w:tc>
          <w:tcPr>
            <w:tcW w:w="0" w:type="auto"/>
            <w:vAlign w:val="center"/>
            <w:hideMark/>
          </w:tcPr>
          <w:p w14:paraId="6A0C0CCD" w14:textId="77777777" w:rsidR="008779B7" w:rsidRPr="008779B7" w:rsidRDefault="008779B7" w:rsidP="008779B7">
            <w:pPr>
              <w:spacing w:after="0" w:line="240" w:lineRule="auto"/>
              <w:jc w:val="center"/>
              <w:rPr>
                <w:rFonts w:ascii="Times New Roman" w:eastAsia="Times New Roman" w:hAnsi="Times New Roman" w:cs="Times New Roman"/>
                <w:b/>
                <w:bCs/>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Cas pratique</w:t>
            </w:r>
          </w:p>
        </w:tc>
        <w:tc>
          <w:tcPr>
            <w:tcW w:w="0" w:type="auto"/>
            <w:vAlign w:val="center"/>
            <w:hideMark/>
          </w:tcPr>
          <w:p w14:paraId="6B5402D7" w14:textId="77777777" w:rsidR="008779B7" w:rsidRPr="008779B7" w:rsidRDefault="008779B7" w:rsidP="008779B7">
            <w:pPr>
              <w:spacing w:after="0" w:line="240" w:lineRule="auto"/>
              <w:jc w:val="center"/>
              <w:rPr>
                <w:rFonts w:ascii="Times New Roman" w:eastAsia="Times New Roman" w:hAnsi="Times New Roman" w:cs="Times New Roman"/>
                <w:b/>
                <w:bCs/>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Articles de loi</w:t>
            </w:r>
          </w:p>
        </w:tc>
        <w:tc>
          <w:tcPr>
            <w:tcW w:w="0" w:type="auto"/>
            <w:vAlign w:val="center"/>
            <w:hideMark/>
          </w:tcPr>
          <w:p w14:paraId="10FDE14D" w14:textId="77777777" w:rsidR="008779B7" w:rsidRPr="008779B7" w:rsidRDefault="008779B7" w:rsidP="008779B7">
            <w:pPr>
              <w:spacing w:after="0" w:line="240" w:lineRule="auto"/>
              <w:jc w:val="center"/>
              <w:rPr>
                <w:rFonts w:ascii="Times New Roman" w:eastAsia="Times New Roman" w:hAnsi="Times New Roman" w:cs="Times New Roman"/>
                <w:b/>
                <w:bCs/>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Résumé</w:t>
            </w:r>
          </w:p>
        </w:tc>
      </w:tr>
      <w:tr w:rsidR="008779B7" w:rsidRPr="008779B7" w14:paraId="00F8CC2A" w14:textId="77777777" w:rsidTr="008779B7">
        <w:trPr>
          <w:tblCellSpacing w:w="15" w:type="dxa"/>
        </w:trPr>
        <w:tc>
          <w:tcPr>
            <w:tcW w:w="0" w:type="auto"/>
            <w:vAlign w:val="center"/>
            <w:hideMark/>
          </w:tcPr>
          <w:p w14:paraId="349D3AB9" w14:textId="77777777" w:rsidR="008779B7" w:rsidRPr="008779B7" w:rsidRDefault="008779B7" w:rsidP="008779B7">
            <w:pPr>
              <w:spacing w:after="0"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kern w:val="0"/>
                <w:sz w:val="24"/>
                <w:szCs w:val="24"/>
                <w:lang w:eastAsia="fr-CH"/>
                <w14:ligatures w14:val="none"/>
              </w:rPr>
              <w:t>4.1 – Violation du contrat</w:t>
            </w:r>
          </w:p>
        </w:tc>
        <w:tc>
          <w:tcPr>
            <w:tcW w:w="0" w:type="auto"/>
            <w:vAlign w:val="center"/>
            <w:hideMark/>
          </w:tcPr>
          <w:p w14:paraId="0EE29145" w14:textId="77777777" w:rsidR="008779B7" w:rsidRPr="008779B7" w:rsidRDefault="008779B7" w:rsidP="008779B7">
            <w:pPr>
              <w:spacing w:after="0"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kern w:val="0"/>
                <w:sz w:val="24"/>
                <w:szCs w:val="24"/>
                <w:lang w:eastAsia="fr-CH"/>
                <w14:ligatures w14:val="none"/>
              </w:rPr>
              <w:t>Code civil suisse</w:t>
            </w:r>
          </w:p>
        </w:tc>
        <w:tc>
          <w:tcPr>
            <w:tcW w:w="0" w:type="auto"/>
            <w:vAlign w:val="center"/>
            <w:hideMark/>
          </w:tcPr>
          <w:p w14:paraId="24EBB12D" w14:textId="77777777" w:rsidR="008779B7" w:rsidRPr="008779B7" w:rsidRDefault="008779B7" w:rsidP="008779B7">
            <w:pPr>
              <w:spacing w:after="0"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kern w:val="0"/>
                <w:sz w:val="24"/>
                <w:szCs w:val="24"/>
                <w:lang w:eastAsia="fr-CH"/>
                <w14:ligatures w14:val="none"/>
              </w:rPr>
              <w:t>Non-respect des engagements médicaux</w:t>
            </w:r>
          </w:p>
        </w:tc>
      </w:tr>
    </w:tbl>
    <w:p w14:paraId="63BD1F4D" w14:textId="77777777" w:rsidR="008779B7" w:rsidRPr="008779B7" w:rsidRDefault="008779B7" w:rsidP="008779B7">
      <w:pPr>
        <w:spacing w:before="100" w:beforeAutospacing="1" w:after="100" w:afterAutospacing="1" w:line="240" w:lineRule="auto"/>
        <w:outlineLvl w:val="2"/>
        <w:rPr>
          <w:rFonts w:ascii="Times New Roman" w:eastAsia="Times New Roman" w:hAnsi="Times New Roman" w:cs="Times New Roman"/>
          <w:b/>
          <w:bCs/>
          <w:kern w:val="0"/>
          <w:sz w:val="27"/>
          <w:szCs w:val="27"/>
          <w:lang w:eastAsia="fr-CH"/>
          <w14:ligatures w14:val="none"/>
        </w:rPr>
      </w:pPr>
      <w:r w:rsidRPr="008779B7">
        <w:rPr>
          <w:rFonts w:ascii="Times New Roman" w:eastAsia="Times New Roman" w:hAnsi="Times New Roman" w:cs="Times New Roman"/>
          <w:b/>
          <w:bCs/>
          <w:kern w:val="0"/>
          <w:sz w:val="27"/>
          <w:szCs w:val="27"/>
          <w:lang w:eastAsia="fr-CH"/>
          <w14:ligatures w14:val="none"/>
        </w:rPr>
        <w:t>V – La causalité naturelle</w:t>
      </w:r>
    </w:p>
    <w:p w14:paraId="6966C814" w14:textId="77777777" w:rsidR="008779B7" w:rsidRPr="008779B7" w:rsidRDefault="008779B7" w:rsidP="008779B7">
      <w:pPr>
        <w:spacing w:before="100" w:beforeAutospacing="1" w:after="100" w:afterAutospacing="1" w:line="240" w:lineRule="auto"/>
        <w:outlineLvl w:val="3"/>
        <w:rPr>
          <w:rFonts w:ascii="Times New Roman" w:eastAsia="Times New Roman" w:hAnsi="Times New Roman" w:cs="Times New Roman"/>
          <w:b/>
          <w:bCs/>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Cas pratique 5.1 : Lien direct entre faute et dommage</w:t>
      </w:r>
    </w:p>
    <w:p w14:paraId="27169D48"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kern w:val="0"/>
          <w:sz w:val="24"/>
          <w:szCs w:val="24"/>
          <w:lang w:eastAsia="fr-CH"/>
          <w14:ligatures w14:val="none"/>
        </w:rPr>
        <w:t>Un patient subit une erreur médicale qui entraîne une complication grave. Le lien entre la faute et le dommage est évident.</w:t>
      </w:r>
    </w:p>
    <w:p w14:paraId="299C89DB" w14:textId="77777777" w:rsidR="008779B7" w:rsidRPr="008779B7" w:rsidRDefault="008779B7" w:rsidP="008779B7">
      <w:pPr>
        <w:numPr>
          <w:ilvl w:val="0"/>
          <w:numId w:val="37"/>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Réponse</w:t>
      </w:r>
      <w:r w:rsidRPr="008779B7">
        <w:rPr>
          <w:rFonts w:ascii="Times New Roman" w:eastAsia="Times New Roman" w:hAnsi="Times New Roman" w:cs="Times New Roman"/>
          <w:kern w:val="0"/>
          <w:sz w:val="24"/>
          <w:szCs w:val="24"/>
          <w:lang w:eastAsia="fr-CH"/>
          <w14:ligatures w14:val="none"/>
        </w:rPr>
        <w:t xml:space="preserve"> : La causalité naturelle est établie lorsque le dommage découle directement de la faute.</w:t>
      </w:r>
    </w:p>
    <w:p w14:paraId="756160F6" w14:textId="77777777" w:rsidR="008779B7" w:rsidRPr="008779B7" w:rsidRDefault="008779B7" w:rsidP="008779B7">
      <w:pPr>
        <w:numPr>
          <w:ilvl w:val="0"/>
          <w:numId w:val="37"/>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Articles de loi</w:t>
      </w:r>
      <w:r w:rsidRPr="008779B7">
        <w:rPr>
          <w:rFonts w:ascii="Times New Roman" w:eastAsia="Times New Roman" w:hAnsi="Times New Roman" w:cs="Times New Roman"/>
          <w:kern w:val="0"/>
          <w:sz w:val="24"/>
          <w:szCs w:val="24"/>
          <w:lang w:eastAsia="fr-CH"/>
          <w14:ligatures w14:val="none"/>
        </w:rPr>
        <w:t xml:space="preserve"> : Code civil suisse sur la causalité.</w:t>
      </w:r>
    </w:p>
    <w:p w14:paraId="33D1A55E" w14:textId="77777777" w:rsidR="008779B7" w:rsidRPr="008779B7" w:rsidRDefault="008779B7" w:rsidP="008779B7">
      <w:pPr>
        <w:numPr>
          <w:ilvl w:val="0"/>
          <w:numId w:val="37"/>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lastRenderedPageBreak/>
        <w:t>Analyse</w:t>
      </w:r>
      <w:r w:rsidRPr="008779B7">
        <w:rPr>
          <w:rFonts w:ascii="Times New Roman" w:eastAsia="Times New Roman" w:hAnsi="Times New Roman" w:cs="Times New Roman"/>
          <w:kern w:val="0"/>
          <w:sz w:val="24"/>
          <w:szCs w:val="24"/>
          <w:lang w:eastAsia="fr-CH"/>
          <w14:ligatures w14:val="none"/>
        </w:rPr>
        <w:t xml:space="preserve"> : La causalité naturelle est une condition essentielle pour engager la responsabilité.</w:t>
      </w:r>
    </w:p>
    <w:p w14:paraId="0CC1E57D" w14:textId="77777777" w:rsidR="008779B7" w:rsidRPr="008779B7" w:rsidRDefault="008779B7" w:rsidP="008779B7">
      <w:pPr>
        <w:numPr>
          <w:ilvl w:val="0"/>
          <w:numId w:val="37"/>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Tableau récapitulatif</w:t>
      </w:r>
      <w:r w:rsidRPr="008779B7">
        <w:rPr>
          <w:rFonts w:ascii="Times New Roman" w:eastAsia="Times New Roman" w:hAnsi="Times New Roman" w:cs="Times New Roman"/>
          <w:kern w:val="0"/>
          <w:sz w:val="24"/>
          <w:szCs w:val="24"/>
          <w:lang w:eastAsia="fr-CH"/>
          <w14:ligatures w14:val="none"/>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08"/>
        <w:gridCol w:w="1687"/>
        <w:gridCol w:w="3441"/>
      </w:tblGrid>
      <w:tr w:rsidR="008779B7" w:rsidRPr="008779B7" w14:paraId="6FF54263" w14:textId="77777777" w:rsidTr="008779B7">
        <w:trPr>
          <w:tblHeader/>
          <w:tblCellSpacing w:w="15" w:type="dxa"/>
        </w:trPr>
        <w:tc>
          <w:tcPr>
            <w:tcW w:w="0" w:type="auto"/>
            <w:vAlign w:val="center"/>
            <w:hideMark/>
          </w:tcPr>
          <w:p w14:paraId="058D93D4" w14:textId="77777777" w:rsidR="008779B7" w:rsidRPr="008779B7" w:rsidRDefault="008779B7" w:rsidP="008779B7">
            <w:pPr>
              <w:spacing w:after="0" w:line="240" w:lineRule="auto"/>
              <w:jc w:val="center"/>
              <w:rPr>
                <w:rFonts w:ascii="Times New Roman" w:eastAsia="Times New Roman" w:hAnsi="Times New Roman" w:cs="Times New Roman"/>
                <w:b/>
                <w:bCs/>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Cas pratique</w:t>
            </w:r>
          </w:p>
        </w:tc>
        <w:tc>
          <w:tcPr>
            <w:tcW w:w="0" w:type="auto"/>
            <w:vAlign w:val="center"/>
            <w:hideMark/>
          </w:tcPr>
          <w:p w14:paraId="236CCDF6" w14:textId="77777777" w:rsidR="008779B7" w:rsidRPr="008779B7" w:rsidRDefault="008779B7" w:rsidP="008779B7">
            <w:pPr>
              <w:spacing w:after="0" w:line="240" w:lineRule="auto"/>
              <w:jc w:val="center"/>
              <w:rPr>
                <w:rFonts w:ascii="Times New Roman" w:eastAsia="Times New Roman" w:hAnsi="Times New Roman" w:cs="Times New Roman"/>
                <w:b/>
                <w:bCs/>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Articles de loi</w:t>
            </w:r>
          </w:p>
        </w:tc>
        <w:tc>
          <w:tcPr>
            <w:tcW w:w="0" w:type="auto"/>
            <w:vAlign w:val="center"/>
            <w:hideMark/>
          </w:tcPr>
          <w:p w14:paraId="202614B6" w14:textId="77777777" w:rsidR="008779B7" w:rsidRPr="008779B7" w:rsidRDefault="008779B7" w:rsidP="008779B7">
            <w:pPr>
              <w:spacing w:after="0" w:line="240" w:lineRule="auto"/>
              <w:jc w:val="center"/>
              <w:rPr>
                <w:rFonts w:ascii="Times New Roman" w:eastAsia="Times New Roman" w:hAnsi="Times New Roman" w:cs="Times New Roman"/>
                <w:b/>
                <w:bCs/>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Résumé</w:t>
            </w:r>
          </w:p>
        </w:tc>
      </w:tr>
      <w:tr w:rsidR="008779B7" w:rsidRPr="008779B7" w14:paraId="77166B30" w14:textId="77777777" w:rsidTr="008779B7">
        <w:trPr>
          <w:tblCellSpacing w:w="15" w:type="dxa"/>
        </w:trPr>
        <w:tc>
          <w:tcPr>
            <w:tcW w:w="0" w:type="auto"/>
            <w:vAlign w:val="center"/>
            <w:hideMark/>
          </w:tcPr>
          <w:p w14:paraId="2F00B99D" w14:textId="77777777" w:rsidR="008779B7" w:rsidRPr="008779B7" w:rsidRDefault="008779B7" w:rsidP="008779B7">
            <w:pPr>
              <w:spacing w:after="0"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kern w:val="0"/>
                <w:sz w:val="24"/>
                <w:szCs w:val="24"/>
                <w:lang w:eastAsia="fr-CH"/>
                <w14:ligatures w14:val="none"/>
              </w:rPr>
              <w:t>5.1 – Causalité naturelle</w:t>
            </w:r>
          </w:p>
        </w:tc>
        <w:tc>
          <w:tcPr>
            <w:tcW w:w="0" w:type="auto"/>
            <w:vAlign w:val="center"/>
            <w:hideMark/>
          </w:tcPr>
          <w:p w14:paraId="49DD9A5F" w14:textId="77777777" w:rsidR="008779B7" w:rsidRPr="008779B7" w:rsidRDefault="008779B7" w:rsidP="008779B7">
            <w:pPr>
              <w:spacing w:after="0"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kern w:val="0"/>
                <w:sz w:val="24"/>
                <w:szCs w:val="24"/>
                <w:lang w:eastAsia="fr-CH"/>
                <w14:ligatures w14:val="none"/>
              </w:rPr>
              <w:t>Code civil suisse</w:t>
            </w:r>
          </w:p>
        </w:tc>
        <w:tc>
          <w:tcPr>
            <w:tcW w:w="0" w:type="auto"/>
            <w:vAlign w:val="center"/>
            <w:hideMark/>
          </w:tcPr>
          <w:p w14:paraId="5577FC49" w14:textId="77777777" w:rsidR="008779B7" w:rsidRPr="008779B7" w:rsidRDefault="008779B7" w:rsidP="008779B7">
            <w:pPr>
              <w:spacing w:after="0"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kern w:val="0"/>
                <w:sz w:val="24"/>
                <w:szCs w:val="24"/>
                <w:lang w:eastAsia="fr-CH"/>
                <w14:ligatures w14:val="none"/>
              </w:rPr>
              <w:t>Lien direct entre faute et dommage</w:t>
            </w:r>
          </w:p>
        </w:tc>
      </w:tr>
    </w:tbl>
    <w:p w14:paraId="321AF524" w14:textId="77777777" w:rsidR="008779B7" w:rsidRPr="008779B7" w:rsidRDefault="008779B7" w:rsidP="008779B7">
      <w:pPr>
        <w:spacing w:before="100" w:beforeAutospacing="1" w:after="100" w:afterAutospacing="1" w:line="240" w:lineRule="auto"/>
        <w:outlineLvl w:val="2"/>
        <w:rPr>
          <w:rFonts w:ascii="Times New Roman" w:eastAsia="Times New Roman" w:hAnsi="Times New Roman" w:cs="Times New Roman"/>
          <w:b/>
          <w:bCs/>
          <w:kern w:val="0"/>
          <w:sz w:val="27"/>
          <w:szCs w:val="27"/>
          <w:lang w:eastAsia="fr-CH"/>
          <w14:ligatures w14:val="none"/>
        </w:rPr>
      </w:pPr>
      <w:r w:rsidRPr="008779B7">
        <w:rPr>
          <w:rFonts w:ascii="Times New Roman" w:eastAsia="Times New Roman" w:hAnsi="Times New Roman" w:cs="Times New Roman"/>
          <w:b/>
          <w:bCs/>
          <w:kern w:val="0"/>
          <w:sz w:val="27"/>
          <w:szCs w:val="27"/>
          <w:lang w:eastAsia="fr-CH"/>
          <w14:ligatures w14:val="none"/>
        </w:rPr>
        <w:t>VI – La causalité adéquate</w:t>
      </w:r>
    </w:p>
    <w:p w14:paraId="4F3B44B6" w14:textId="77777777" w:rsidR="008779B7" w:rsidRPr="008779B7" w:rsidRDefault="008779B7" w:rsidP="008779B7">
      <w:pPr>
        <w:spacing w:before="100" w:beforeAutospacing="1" w:after="100" w:afterAutospacing="1" w:line="240" w:lineRule="auto"/>
        <w:outlineLvl w:val="3"/>
        <w:rPr>
          <w:rFonts w:ascii="Times New Roman" w:eastAsia="Times New Roman" w:hAnsi="Times New Roman" w:cs="Times New Roman"/>
          <w:b/>
          <w:bCs/>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Cas pratique 6.1 : Évaluation du lien entre faute et préjudice</w:t>
      </w:r>
    </w:p>
    <w:p w14:paraId="2FC7E3C4"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kern w:val="0"/>
          <w:sz w:val="24"/>
          <w:szCs w:val="24"/>
          <w:lang w:eastAsia="fr-CH"/>
          <w14:ligatures w14:val="none"/>
        </w:rPr>
        <w:t>Un patient subit une complication après une intervention. Le tribunal doit déterminer si la faute du médecin a réellement causé le préjudice.</w:t>
      </w:r>
    </w:p>
    <w:p w14:paraId="2279B464" w14:textId="77777777" w:rsidR="008779B7" w:rsidRPr="008779B7" w:rsidRDefault="008779B7" w:rsidP="008779B7">
      <w:pPr>
        <w:numPr>
          <w:ilvl w:val="0"/>
          <w:numId w:val="38"/>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Réponse</w:t>
      </w:r>
      <w:r w:rsidRPr="008779B7">
        <w:rPr>
          <w:rFonts w:ascii="Times New Roman" w:eastAsia="Times New Roman" w:hAnsi="Times New Roman" w:cs="Times New Roman"/>
          <w:kern w:val="0"/>
          <w:sz w:val="24"/>
          <w:szCs w:val="24"/>
          <w:lang w:eastAsia="fr-CH"/>
          <w14:ligatures w14:val="none"/>
        </w:rPr>
        <w:t xml:space="preserve"> : La causalité adéquate est établie si la faute du médecin a augmenté le risque de préjudice.</w:t>
      </w:r>
    </w:p>
    <w:p w14:paraId="320A202B" w14:textId="77777777" w:rsidR="008779B7" w:rsidRPr="008779B7" w:rsidRDefault="008779B7" w:rsidP="008779B7">
      <w:pPr>
        <w:numPr>
          <w:ilvl w:val="0"/>
          <w:numId w:val="38"/>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Articles de loi</w:t>
      </w:r>
      <w:r w:rsidRPr="008779B7">
        <w:rPr>
          <w:rFonts w:ascii="Times New Roman" w:eastAsia="Times New Roman" w:hAnsi="Times New Roman" w:cs="Times New Roman"/>
          <w:kern w:val="0"/>
          <w:sz w:val="24"/>
          <w:szCs w:val="24"/>
          <w:lang w:eastAsia="fr-CH"/>
          <w14:ligatures w14:val="none"/>
        </w:rPr>
        <w:t xml:space="preserve"> : Code civil suisse sur la causalité adéquate.</w:t>
      </w:r>
    </w:p>
    <w:p w14:paraId="4980E22B" w14:textId="77777777" w:rsidR="008779B7" w:rsidRPr="008779B7" w:rsidRDefault="008779B7" w:rsidP="008779B7">
      <w:pPr>
        <w:numPr>
          <w:ilvl w:val="0"/>
          <w:numId w:val="38"/>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Analyse</w:t>
      </w:r>
      <w:r w:rsidRPr="008779B7">
        <w:rPr>
          <w:rFonts w:ascii="Times New Roman" w:eastAsia="Times New Roman" w:hAnsi="Times New Roman" w:cs="Times New Roman"/>
          <w:kern w:val="0"/>
          <w:sz w:val="24"/>
          <w:szCs w:val="24"/>
          <w:lang w:eastAsia="fr-CH"/>
          <w14:ligatures w14:val="none"/>
        </w:rPr>
        <w:t xml:space="preserve"> : La causalité adéquate est une notion juridique qui permet d’évaluer la responsabilité.</w:t>
      </w:r>
    </w:p>
    <w:p w14:paraId="70716F93" w14:textId="77777777" w:rsidR="008779B7" w:rsidRPr="008779B7" w:rsidRDefault="008779B7" w:rsidP="008779B7">
      <w:pPr>
        <w:numPr>
          <w:ilvl w:val="0"/>
          <w:numId w:val="38"/>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Tableau récapitulatif</w:t>
      </w:r>
      <w:r w:rsidRPr="008779B7">
        <w:rPr>
          <w:rFonts w:ascii="Times New Roman" w:eastAsia="Times New Roman" w:hAnsi="Times New Roman" w:cs="Times New Roman"/>
          <w:kern w:val="0"/>
          <w:sz w:val="24"/>
          <w:szCs w:val="24"/>
          <w:lang w:eastAsia="fr-CH"/>
          <w14:ligatures w14:val="none"/>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21"/>
        <w:gridCol w:w="1687"/>
        <w:gridCol w:w="4100"/>
      </w:tblGrid>
      <w:tr w:rsidR="008779B7" w:rsidRPr="008779B7" w14:paraId="73929ABC" w14:textId="77777777" w:rsidTr="008779B7">
        <w:trPr>
          <w:tblHeader/>
          <w:tblCellSpacing w:w="15" w:type="dxa"/>
        </w:trPr>
        <w:tc>
          <w:tcPr>
            <w:tcW w:w="0" w:type="auto"/>
            <w:vAlign w:val="center"/>
            <w:hideMark/>
          </w:tcPr>
          <w:p w14:paraId="4AD24014" w14:textId="77777777" w:rsidR="008779B7" w:rsidRPr="008779B7" w:rsidRDefault="008779B7" w:rsidP="008779B7">
            <w:pPr>
              <w:spacing w:after="0" w:line="240" w:lineRule="auto"/>
              <w:jc w:val="center"/>
              <w:rPr>
                <w:rFonts w:ascii="Times New Roman" w:eastAsia="Times New Roman" w:hAnsi="Times New Roman" w:cs="Times New Roman"/>
                <w:b/>
                <w:bCs/>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Cas pratique</w:t>
            </w:r>
          </w:p>
        </w:tc>
        <w:tc>
          <w:tcPr>
            <w:tcW w:w="0" w:type="auto"/>
            <w:vAlign w:val="center"/>
            <w:hideMark/>
          </w:tcPr>
          <w:p w14:paraId="7EF12BD5" w14:textId="77777777" w:rsidR="008779B7" w:rsidRPr="008779B7" w:rsidRDefault="008779B7" w:rsidP="008779B7">
            <w:pPr>
              <w:spacing w:after="0" w:line="240" w:lineRule="auto"/>
              <w:jc w:val="center"/>
              <w:rPr>
                <w:rFonts w:ascii="Times New Roman" w:eastAsia="Times New Roman" w:hAnsi="Times New Roman" w:cs="Times New Roman"/>
                <w:b/>
                <w:bCs/>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Articles de loi</w:t>
            </w:r>
          </w:p>
        </w:tc>
        <w:tc>
          <w:tcPr>
            <w:tcW w:w="0" w:type="auto"/>
            <w:vAlign w:val="center"/>
            <w:hideMark/>
          </w:tcPr>
          <w:p w14:paraId="052B9227" w14:textId="77777777" w:rsidR="008779B7" w:rsidRPr="008779B7" w:rsidRDefault="008779B7" w:rsidP="008779B7">
            <w:pPr>
              <w:spacing w:after="0" w:line="240" w:lineRule="auto"/>
              <w:jc w:val="center"/>
              <w:rPr>
                <w:rFonts w:ascii="Times New Roman" w:eastAsia="Times New Roman" w:hAnsi="Times New Roman" w:cs="Times New Roman"/>
                <w:b/>
                <w:bCs/>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Résumé</w:t>
            </w:r>
          </w:p>
        </w:tc>
      </w:tr>
      <w:tr w:rsidR="008779B7" w:rsidRPr="008779B7" w14:paraId="139BE66E" w14:textId="77777777" w:rsidTr="008779B7">
        <w:trPr>
          <w:tblCellSpacing w:w="15" w:type="dxa"/>
        </w:trPr>
        <w:tc>
          <w:tcPr>
            <w:tcW w:w="0" w:type="auto"/>
            <w:vAlign w:val="center"/>
            <w:hideMark/>
          </w:tcPr>
          <w:p w14:paraId="5A4723D1" w14:textId="77777777" w:rsidR="008779B7" w:rsidRPr="008779B7" w:rsidRDefault="008779B7" w:rsidP="008779B7">
            <w:pPr>
              <w:spacing w:after="0"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kern w:val="0"/>
                <w:sz w:val="24"/>
                <w:szCs w:val="24"/>
                <w:lang w:eastAsia="fr-CH"/>
                <w14:ligatures w14:val="none"/>
              </w:rPr>
              <w:t>6.1 – Causalité adéquate</w:t>
            </w:r>
          </w:p>
        </w:tc>
        <w:tc>
          <w:tcPr>
            <w:tcW w:w="0" w:type="auto"/>
            <w:vAlign w:val="center"/>
            <w:hideMark/>
          </w:tcPr>
          <w:p w14:paraId="7635FD23" w14:textId="77777777" w:rsidR="008779B7" w:rsidRPr="008779B7" w:rsidRDefault="008779B7" w:rsidP="008779B7">
            <w:pPr>
              <w:spacing w:after="0"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kern w:val="0"/>
                <w:sz w:val="24"/>
                <w:szCs w:val="24"/>
                <w:lang w:eastAsia="fr-CH"/>
                <w14:ligatures w14:val="none"/>
              </w:rPr>
              <w:t>Code civil suisse</w:t>
            </w:r>
          </w:p>
        </w:tc>
        <w:tc>
          <w:tcPr>
            <w:tcW w:w="0" w:type="auto"/>
            <w:vAlign w:val="center"/>
            <w:hideMark/>
          </w:tcPr>
          <w:p w14:paraId="103D1D5B" w14:textId="77777777" w:rsidR="008779B7" w:rsidRPr="008779B7" w:rsidRDefault="008779B7" w:rsidP="008779B7">
            <w:pPr>
              <w:spacing w:after="0"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kern w:val="0"/>
                <w:sz w:val="24"/>
                <w:szCs w:val="24"/>
                <w:lang w:eastAsia="fr-CH"/>
                <w14:ligatures w14:val="none"/>
              </w:rPr>
              <w:t>Évaluation du lien entre faute et préjudice</w:t>
            </w:r>
          </w:p>
        </w:tc>
      </w:tr>
    </w:tbl>
    <w:p w14:paraId="5EE3D08B" w14:textId="77777777" w:rsidR="008779B7" w:rsidRPr="008779B7" w:rsidRDefault="008779B7" w:rsidP="008779B7">
      <w:pPr>
        <w:spacing w:before="100" w:beforeAutospacing="1" w:after="100" w:afterAutospacing="1" w:line="240" w:lineRule="auto"/>
        <w:outlineLvl w:val="2"/>
        <w:rPr>
          <w:rFonts w:ascii="Times New Roman" w:eastAsia="Times New Roman" w:hAnsi="Times New Roman" w:cs="Times New Roman"/>
          <w:b/>
          <w:bCs/>
          <w:kern w:val="0"/>
          <w:sz w:val="27"/>
          <w:szCs w:val="27"/>
          <w:lang w:eastAsia="fr-CH"/>
          <w14:ligatures w14:val="none"/>
        </w:rPr>
      </w:pPr>
      <w:r w:rsidRPr="008779B7">
        <w:rPr>
          <w:rFonts w:ascii="Times New Roman" w:eastAsia="Times New Roman" w:hAnsi="Times New Roman" w:cs="Times New Roman"/>
          <w:b/>
          <w:bCs/>
          <w:kern w:val="0"/>
          <w:sz w:val="27"/>
          <w:szCs w:val="27"/>
          <w:lang w:eastAsia="fr-CH"/>
          <w14:ligatures w14:val="none"/>
        </w:rPr>
        <w:t>VII – Les facteurs interruptifs de la causalité adéquate</w:t>
      </w:r>
    </w:p>
    <w:p w14:paraId="64C44261" w14:textId="77777777" w:rsidR="008779B7" w:rsidRPr="008779B7" w:rsidRDefault="008779B7" w:rsidP="008779B7">
      <w:pPr>
        <w:spacing w:before="100" w:beforeAutospacing="1" w:after="100" w:afterAutospacing="1" w:line="240" w:lineRule="auto"/>
        <w:outlineLvl w:val="3"/>
        <w:rPr>
          <w:rFonts w:ascii="Times New Roman" w:eastAsia="Times New Roman" w:hAnsi="Times New Roman" w:cs="Times New Roman"/>
          <w:b/>
          <w:bCs/>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Cas pratique 7.1 : Intervention d’un facteur externe</w:t>
      </w:r>
    </w:p>
    <w:p w14:paraId="583373EE"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kern w:val="0"/>
          <w:sz w:val="24"/>
          <w:szCs w:val="24"/>
          <w:lang w:eastAsia="fr-CH"/>
          <w14:ligatures w14:val="none"/>
        </w:rPr>
        <w:t>Un patient subit une complication après une opération, mais un événement extérieur (infection indépendante) vient perturber le lien de causalité.</w:t>
      </w:r>
    </w:p>
    <w:p w14:paraId="48F3527E" w14:textId="77777777" w:rsidR="008779B7" w:rsidRPr="008779B7" w:rsidRDefault="008779B7" w:rsidP="008779B7">
      <w:pPr>
        <w:numPr>
          <w:ilvl w:val="0"/>
          <w:numId w:val="39"/>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Réponse</w:t>
      </w:r>
      <w:r w:rsidRPr="008779B7">
        <w:rPr>
          <w:rFonts w:ascii="Times New Roman" w:eastAsia="Times New Roman" w:hAnsi="Times New Roman" w:cs="Times New Roman"/>
          <w:kern w:val="0"/>
          <w:sz w:val="24"/>
          <w:szCs w:val="24"/>
          <w:lang w:eastAsia="fr-CH"/>
          <w14:ligatures w14:val="none"/>
        </w:rPr>
        <w:t xml:space="preserve"> : Un facteur externe peut interrompre la causalité adéquate et limiter la responsabilité du médecin.</w:t>
      </w:r>
    </w:p>
    <w:p w14:paraId="39B08E3B" w14:textId="77777777" w:rsidR="008779B7" w:rsidRPr="008779B7" w:rsidRDefault="008779B7" w:rsidP="008779B7">
      <w:pPr>
        <w:numPr>
          <w:ilvl w:val="0"/>
          <w:numId w:val="39"/>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Articles de loi</w:t>
      </w:r>
      <w:r w:rsidRPr="008779B7">
        <w:rPr>
          <w:rFonts w:ascii="Times New Roman" w:eastAsia="Times New Roman" w:hAnsi="Times New Roman" w:cs="Times New Roman"/>
          <w:kern w:val="0"/>
          <w:sz w:val="24"/>
          <w:szCs w:val="24"/>
          <w:lang w:eastAsia="fr-CH"/>
          <w14:ligatures w14:val="none"/>
        </w:rPr>
        <w:t xml:space="preserve"> : Code civil suisse sur les facteurs interruptifs.</w:t>
      </w:r>
    </w:p>
    <w:p w14:paraId="454D3AD6" w14:textId="77777777" w:rsidR="008779B7" w:rsidRPr="008779B7" w:rsidRDefault="008779B7" w:rsidP="008779B7">
      <w:pPr>
        <w:numPr>
          <w:ilvl w:val="0"/>
          <w:numId w:val="39"/>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Analyse</w:t>
      </w:r>
      <w:r w:rsidRPr="008779B7">
        <w:rPr>
          <w:rFonts w:ascii="Times New Roman" w:eastAsia="Times New Roman" w:hAnsi="Times New Roman" w:cs="Times New Roman"/>
          <w:kern w:val="0"/>
          <w:sz w:val="24"/>
          <w:szCs w:val="24"/>
          <w:lang w:eastAsia="fr-CH"/>
          <w14:ligatures w14:val="none"/>
        </w:rPr>
        <w:t xml:space="preserve"> : Si un événement extérieur intervient, la responsabilité du médecin peut être réduite.</w:t>
      </w:r>
    </w:p>
    <w:p w14:paraId="3ED6EF92" w14:textId="77777777" w:rsidR="008779B7" w:rsidRPr="008779B7" w:rsidRDefault="008779B7" w:rsidP="008779B7">
      <w:pPr>
        <w:numPr>
          <w:ilvl w:val="0"/>
          <w:numId w:val="39"/>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Tableau récapitulatif</w:t>
      </w:r>
      <w:r w:rsidRPr="008779B7">
        <w:rPr>
          <w:rFonts w:ascii="Times New Roman" w:eastAsia="Times New Roman" w:hAnsi="Times New Roman" w:cs="Times New Roman"/>
          <w:kern w:val="0"/>
          <w:sz w:val="24"/>
          <w:szCs w:val="24"/>
          <w:lang w:eastAsia="fr-CH"/>
          <w14:ligatures w14:val="none"/>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68"/>
        <w:gridCol w:w="1687"/>
        <w:gridCol w:w="4247"/>
      </w:tblGrid>
      <w:tr w:rsidR="008779B7" w:rsidRPr="008779B7" w14:paraId="0B82F66B" w14:textId="77777777" w:rsidTr="008779B7">
        <w:trPr>
          <w:tblHeader/>
          <w:tblCellSpacing w:w="15" w:type="dxa"/>
        </w:trPr>
        <w:tc>
          <w:tcPr>
            <w:tcW w:w="0" w:type="auto"/>
            <w:vAlign w:val="center"/>
            <w:hideMark/>
          </w:tcPr>
          <w:p w14:paraId="56B186FC" w14:textId="77777777" w:rsidR="008779B7" w:rsidRPr="008779B7" w:rsidRDefault="008779B7" w:rsidP="008779B7">
            <w:pPr>
              <w:spacing w:after="0" w:line="240" w:lineRule="auto"/>
              <w:jc w:val="center"/>
              <w:rPr>
                <w:rFonts w:ascii="Times New Roman" w:eastAsia="Times New Roman" w:hAnsi="Times New Roman" w:cs="Times New Roman"/>
                <w:b/>
                <w:bCs/>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Cas pratique</w:t>
            </w:r>
          </w:p>
        </w:tc>
        <w:tc>
          <w:tcPr>
            <w:tcW w:w="0" w:type="auto"/>
            <w:vAlign w:val="center"/>
            <w:hideMark/>
          </w:tcPr>
          <w:p w14:paraId="73944E4E" w14:textId="77777777" w:rsidR="008779B7" w:rsidRPr="008779B7" w:rsidRDefault="008779B7" w:rsidP="008779B7">
            <w:pPr>
              <w:spacing w:after="0" w:line="240" w:lineRule="auto"/>
              <w:jc w:val="center"/>
              <w:rPr>
                <w:rFonts w:ascii="Times New Roman" w:eastAsia="Times New Roman" w:hAnsi="Times New Roman" w:cs="Times New Roman"/>
                <w:b/>
                <w:bCs/>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Articles de loi</w:t>
            </w:r>
          </w:p>
        </w:tc>
        <w:tc>
          <w:tcPr>
            <w:tcW w:w="0" w:type="auto"/>
            <w:vAlign w:val="center"/>
            <w:hideMark/>
          </w:tcPr>
          <w:p w14:paraId="1B8D0198" w14:textId="77777777" w:rsidR="008779B7" w:rsidRPr="008779B7" w:rsidRDefault="008779B7" w:rsidP="008779B7">
            <w:pPr>
              <w:spacing w:after="0" w:line="240" w:lineRule="auto"/>
              <w:jc w:val="center"/>
              <w:rPr>
                <w:rFonts w:ascii="Times New Roman" w:eastAsia="Times New Roman" w:hAnsi="Times New Roman" w:cs="Times New Roman"/>
                <w:b/>
                <w:bCs/>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Résumé</w:t>
            </w:r>
          </w:p>
        </w:tc>
      </w:tr>
      <w:tr w:rsidR="008779B7" w:rsidRPr="008779B7" w14:paraId="47C7F275" w14:textId="77777777" w:rsidTr="008779B7">
        <w:trPr>
          <w:tblCellSpacing w:w="15" w:type="dxa"/>
        </w:trPr>
        <w:tc>
          <w:tcPr>
            <w:tcW w:w="0" w:type="auto"/>
            <w:vAlign w:val="center"/>
            <w:hideMark/>
          </w:tcPr>
          <w:p w14:paraId="3A342450" w14:textId="77777777" w:rsidR="008779B7" w:rsidRPr="008779B7" w:rsidRDefault="008779B7" w:rsidP="008779B7">
            <w:pPr>
              <w:spacing w:after="0"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kern w:val="0"/>
                <w:sz w:val="24"/>
                <w:szCs w:val="24"/>
                <w:lang w:eastAsia="fr-CH"/>
                <w14:ligatures w14:val="none"/>
              </w:rPr>
              <w:t>7.1 – Facteur interruptif</w:t>
            </w:r>
          </w:p>
        </w:tc>
        <w:tc>
          <w:tcPr>
            <w:tcW w:w="0" w:type="auto"/>
            <w:vAlign w:val="center"/>
            <w:hideMark/>
          </w:tcPr>
          <w:p w14:paraId="7D61E8CD" w14:textId="77777777" w:rsidR="008779B7" w:rsidRPr="008779B7" w:rsidRDefault="008779B7" w:rsidP="008779B7">
            <w:pPr>
              <w:spacing w:after="0"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kern w:val="0"/>
                <w:sz w:val="24"/>
                <w:szCs w:val="24"/>
                <w:lang w:eastAsia="fr-CH"/>
                <w14:ligatures w14:val="none"/>
              </w:rPr>
              <w:t>Code civil suisse</w:t>
            </w:r>
          </w:p>
        </w:tc>
        <w:tc>
          <w:tcPr>
            <w:tcW w:w="0" w:type="auto"/>
            <w:vAlign w:val="center"/>
            <w:hideMark/>
          </w:tcPr>
          <w:p w14:paraId="302CF536" w14:textId="77777777" w:rsidR="008779B7" w:rsidRPr="008779B7" w:rsidRDefault="008779B7" w:rsidP="008779B7">
            <w:pPr>
              <w:spacing w:after="0"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kern w:val="0"/>
                <w:sz w:val="24"/>
                <w:szCs w:val="24"/>
                <w:lang w:eastAsia="fr-CH"/>
                <w14:ligatures w14:val="none"/>
              </w:rPr>
              <w:t>Événement extérieur perturbant la causalité</w:t>
            </w:r>
          </w:p>
        </w:tc>
      </w:tr>
    </w:tbl>
    <w:p w14:paraId="5CAD442D" w14:textId="77777777" w:rsidR="008779B7" w:rsidRPr="008779B7" w:rsidRDefault="008779B7" w:rsidP="008779B7">
      <w:pPr>
        <w:spacing w:before="100" w:beforeAutospacing="1" w:after="100" w:afterAutospacing="1" w:line="240" w:lineRule="auto"/>
        <w:outlineLvl w:val="2"/>
        <w:rPr>
          <w:rFonts w:ascii="Times New Roman" w:eastAsia="Times New Roman" w:hAnsi="Times New Roman" w:cs="Times New Roman"/>
          <w:b/>
          <w:bCs/>
          <w:kern w:val="0"/>
          <w:sz w:val="27"/>
          <w:szCs w:val="27"/>
          <w:lang w:eastAsia="fr-CH"/>
          <w14:ligatures w14:val="none"/>
        </w:rPr>
      </w:pPr>
      <w:r w:rsidRPr="008779B7">
        <w:rPr>
          <w:rFonts w:ascii="Times New Roman" w:eastAsia="Times New Roman" w:hAnsi="Times New Roman" w:cs="Times New Roman"/>
          <w:b/>
          <w:bCs/>
          <w:kern w:val="0"/>
          <w:sz w:val="27"/>
          <w:szCs w:val="27"/>
          <w:lang w:eastAsia="fr-CH"/>
          <w14:ligatures w14:val="none"/>
        </w:rPr>
        <w:t>VIII – La perte de chance</w:t>
      </w:r>
    </w:p>
    <w:p w14:paraId="7E1D4BBC" w14:textId="77777777" w:rsidR="008779B7" w:rsidRPr="008779B7" w:rsidRDefault="008779B7" w:rsidP="008779B7">
      <w:pPr>
        <w:spacing w:before="100" w:beforeAutospacing="1" w:after="100" w:afterAutospacing="1" w:line="240" w:lineRule="auto"/>
        <w:outlineLvl w:val="3"/>
        <w:rPr>
          <w:rFonts w:ascii="Times New Roman" w:eastAsia="Times New Roman" w:hAnsi="Times New Roman" w:cs="Times New Roman"/>
          <w:b/>
          <w:bCs/>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Cas pratique 8.1 : Erreur médicale réduisant les chances de guérison</w:t>
      </w:r>
    </w:p>
    <w:p w14:paraId="44EF5FE3"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kern w:val="0"/>
          <w:sz w:val="24"/>
          <w:szCs w:val="24"/>
          <w:lang w:eastAsia="fr-CH"/>
          <w14:ligatures w14:val="none"/>
        </w:rPr>
        <w:t>Un patient atteint d’une maladie grave reçoit un traitement inadapté, réduisant ses chances de guérison.</w:t>
      </w:r>
    </w:p>
    <w:p w14:paraId="2E3E5338" w14:textId="77777777" w:rsidR="008779B7" w:rsidRPr="008779B7" w:rsidRDefault="008779B7" w:rsidP="008779B7">
      <w:pPr>
        <w:numPr>
          <w:ilvl w:val="0"/>
          <w:numId w:val="40"/>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Réponse</w:t>
      </w:r>
      <w:r w:rsidRPr="008779B7">
        <w:rPr>
          <w:rFonts w:ascii="Times New Roman" w:eastAsia="Times New Roman" w:hAnsi="Times New Roman" w:cs="Times New Roman"/>
          <w:kern w:val="0"/>
          <w:sz w:val="24"/>
          <w:szCs w:val="24"/>
          <w:lang w:eastAsia="fr-CH"/>
          <w14:ligatures w14:val="none"/>
        </w:rPr>
        <w:t xml:space="preserve"> : La perte de chance est indemnisable si la faute médicale a diminué les chances de guérison.</w:t>
      </w:r>
    </w:p>
    <w:p w14:paraId="280B5753" w14:textId="77777777" w:rsidR="008779B7" w:rsidRPr="008779B7" w:rsidRDefault="008779B7" w:rsidP="008779B7">
      <w:pPr>
        <w:numPr>
          <w:ilvl w:val="0"/>
          <w:numId w:val="40"/>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Articles de loi</w:t>
      </w:r>
      <w:r w:rsidRPr="008779B7">
        <w:rPr>
          <w:rFonts w:ascii="Times New Roman" w:eastAsia="Times New Roman" w:hAnsi="Times New Roman" w:cs="Times New Roman"/>
          <w:kern w:val="0"/>
          <w:sz w:val="24"/>
          <w:szCs w:val="24"/>
          <w:lang w:eastAsia="fr-CH"/>
          <w14:ligatures w14:val="none"/>
        </w:rPr>
        <w:t xml:space="preserve"> : Jurisprudence suisse sur la perte de chance.</w:t>
      </w:r>
    </w:p>
    <w:p w14:paraId="5621C5AC" w14:textId="77777777" w:rsidR="008779B7" w:rsidRPr="008779B7" w:rsidRDefault="008779B7" w:rsidP="008779B7">
      <w:pPr>
        <w:numPr>
          <w:ilvl w:val="0"/>
          <w:numId w:val="40"/>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lastRenderedPageBreak/>
        <w:t>Analyse</w:t>
      </w:r>
      <w:r w:rsidRPr="008779B7">
        <w:rPr>
          <w:rFonts w:ascii="Times New Roman" w:eastAsia="Times New Roman" w:hAnsi="Times New Roman" w:cs="Times New Roman"/>
          <w:kern w:val="0"/>
          <w:sz w:val="24"/>
          <w:szCs w:val="24"/>
          <w:lang w:eastAsia="fr-CH"/>
          <w14:ligatures w14:val="none"/>
        </w:rPr>
        <w:t xml:space="preserve"> : La perte de chance est une notion complexe qui nécessite une évaluation précise.</w:t>
      </w:r>
    </w:p>
    <w:p w14:paraId="68A92C00" w14:textId="77777777" w:rsidR="008779B7" w:rsidRPr="008779B7" w:rsidRDefault="008779B7" w:rsidP="008779B7">
      <w:pPr>
        <w:numPr>
          <w:ilvl w:val="0"/>
          <w:numId w:val="40"/>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Tableau récapitulatif</w:t>
      </w:r>
      <w:r w:rsidRPr="008779B7">
        <w:rPr>
          <w:rFonts w:ascii="Times New Roman" w:eastAsia="Times New Roman" w:hAnsi="Times New Roman" w:cs="Times New Roman"/>
          <w:kern w:val="0"/>
          <w:sz w:val="24"/>
          <w:szCs w:val="24"/>
          <w:lang w:eastAsia="fr-CH"/>
          <w14:ligatures w14:val="none"/>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21"/>
        <w:gridCol w:w="2027"/>
        <w:gridCol w:w="4794"/>
      </w:tblGrid>
      <w:tr w:rsidR="008779B7" w:rsidRPr="008779B7" w14:paraId="6A923D42" w14:textId="77777777" w:rsidTr="008779B7">
        <w:trPr>
          <w:tblHeader/>
          <w:tblCellSpacing w:w="15" w:type="dxa"/>
        </w:trPr>
        <w:tc>
          <w:tcPr>
            <w:tcW w:w="0" w:type="auto"/>
            <w:vAlign w:val="center"/>
            <w:hideMark/>
          </w:tcPr>
          <w:p w14:paraId="3D09F802" w14:textId="77777777" w:rsidR="008779B7" w:rsidRPr="008779B7" w:rsidRDefault="008779B7" w:rsidP="008779B7">
            <w:pPr>
              <w:spacing w:after="0" w:line="240" w:lineRule="auto"/>
              <w:jc w:val="center"/>
              <w:rPr>
                <w:rFonts w:ascii="Times New Roman" w:eastAsia="Times New Roman" w:hAnsi="Times New Roman" w:cs="Times New Roman"/>
                <w:b/>
                <w:bCs/>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Cas pratique</w:t>
            </w:r>
          </w:p>
        </w:tc>
        <w:tc>
          <w:tcPr>
            <w:tcW w:w="0" w:type="auto"/>
            <w:vAlign w:val="center"/>
            <w:hideMark/>
          </w:tcPr>
          <w:p w14:paraId="427C2FCE" w14:textId="77777777" w:rsidR="008779B7" w:rsidRPr="008779B7" w:rsidRDefault="008779B7" w:rsidP="008779B7">
            <w:pPr>
              <w:spacing w:after="0" w:line="240" w:lineRule="auto"/>
              <w:jc w:val="center"/>
              <w:rPr>
                <w:rFonts w:ascii="Times New Roman" w:eastAsia="Times New Roman" w:hAnsi="Times New Roman" w:cs="Times New Roman"/>
                <w:b/>
                <w:bCs/>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Articles de loi</w:t>
            </w:r>
          </w:p>
        </w:tc>
        <w:tc>
          <w:tcPr>
            <w:tcW w:w="0" w:type="auto"/>
            <w:vAlign w:val="center"/>
            <w:hideMark/>
          </w:tcPr>
          <w:p w14:paraId="3142CBD3" w14:textId="77777777" w:rsidR="008779B7" w:rsidRPr="008779B7" w:rsidRDefault="008779B7" w:rsidP="008779B7">
            <w:pPr>
              <w:spacing w:after="0" w:line="240" w:lineRule="auto"/>
              <w:jc w:val="center"/>
              <w:rPr>
                <w:rFonts w:ascii="Times New Roman" w:eastAsia="Times New Roman" w:hAnsi="Times New Roman" w:cs="Times New Roman"/>
                <w:b/>
                <w:bCs/>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Résumé</w:t>
            </w:r>
          </w:p>
        </w:tc>
      </w:tr>
      <w:tr w:rsidR="008779B7" w:rsidRPr="008779B7" w14:paraId="7328160D" w14:textId="77777777" w:rsidTr="008779B7">
        <w:trPr>
          <w:tblCellSpacing w:w="15" w:type="dxa"/>
        </w:trPr>
        <w:tc>
          <w:tcPr>
            <w:tcW w:w="0" w:type="auto"/>
            <w:vAlign w:val="center"/>
            <w:hideMark/>
          </w:tcPr>
          <w:p w14:paraId="0745047E" w14:textId="77777777" w:rsidR="008779B7" w:rsidRPr="008779B7" w:rsidRDefault="008779B7" w:rsidP="008779B7">
            <w:pPr>
              <w:spacing w:after="0"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kern w:val="0"/>
                <w:sz w:val="24"/>
                <w:szCs w:val="24"/>
                <w:lang w:eastAsia="fr-CH"/>
                <w14:ligatures w14:val="none"/>
              </w:rPr>
              <w:t>8.1 – Perte de chance</w:t>
            </w:r>
          </w:p>
        </w:tc>
        <w:tc>
          <w:tcPr>
            <w:tcW w:w="0" w:type="auto"/>
            <w:vAlign w:val="center"/>
            <w:hideMark/>
          </w:tcPr>
          <w:p w14:paraId="7DC9FE62" w14:textId="77777777" w:rsidR="008779B7" w:rsidRPr="008779B7" w:rsidRDefault="008779B7" w:rsidP="008779B7">
            <w:pPr>
              <w:spacing w:after="0"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kern w:val="0"/>
                <w:sz w:val="24"/>
                <w:szCs w:val="24"/>
                <w:lang w:eastAsia="fr-CH"/>
                <w14:ligatures w14:val="none"/>
              </w:rPr>
              <w:t>Jurisprudence suisse</w:t>
            </w:r>
          </w:p>
        </w:tc>
        <w:tc>
          <w:tcPr>
            <w:tcW w:w="0" w:type="auto"/>
            <w:vAlign w:val="center"/>
            <w:hideMark/>
          </w:tcPr>
          <w:p w14:paraId="4930E0AD" w14:textId="77777777" w:rsidR="008779B7" w:rsidRPr="008779B7" w:rsidRDefault="008779B7" w:rsidP="008779B7">
            <w:pPr>
              <w:spacing w:after="0"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kern w:val="0"/>
                <w:sz w:val="24"/>
                <w:szCs w:val="24"/>
                <w:lang w:eastAsia="fr-CH"/>
                <w14:ligatures w14:val="none"/>
              </w:rPr>
              <w:t>Faute médicale réduisant les chances de guérison</w:t>
            </w:r>
          </w:p>
        </w:tc>
      </w:tr>
    </w:tbl>
    <w:p w14:paraId="63E2DC51" w14:textId="77777777" w:rsidR="008779B7" w:rsidRPr="008779B7" w:rsidRDefault="008779B7" w:rsidP="008779B7">
      <w:pPr>
        <w:spacing w:before="100" w:beforeAutospacing="1" w:after="100" w:afterAutospacing="1" w:line="240" w:lineRule="auto"/>
        <w:outlineLvl w:val="2"/>
        <w:rPr>
          <w:rFonts w:ascii="Times New Roman" w:eastAsia="Times New Roman" w:hAnsi="Times New Roman" w:cs="Times New Roman"/>
          <w:b/>
          <w:bCs/>
          <w:kern w:val="0"/>
          <w:sz w:val="27"/>
          <w:szCs w:val="27"/>
          <w:lang w:eastAsia="fr-CH"/>
          <w14:ligatures w14:val="none"/>
        </w:rPr>
      </w:pPr>
      <w:r w:rsidRPr="008779B7">
        <w:rPr>
          <w:rFonts w:ascii="Times New Roman" w:eastAsia="Times New Roman" w:hAnsi="Times New Roman" w:cs="Times New Roman"/>
          <w:b/>
          <w:bCs/>
          <w:kern w:val="0"/>
          <w:sz w:val="27"/>
          <w:szCs w:val="27"/>
          <w:lang w:eastAsia="fr-CH"/>
          <w14:ligatures w14:val="none"/>
        </w:rPr>
        <w:t>IX – La faute</w:t>
      </w:r>
    </w:p>
    <w:p w14:paraId="112B0956" w14:textId="77777777" w:rsidR="008779B7" w:rsidRPr="008779B7" w:rsidRDefault="008779B7" w:rsidP="008779B7">
      <w:pPr>
        <w:spacing w:before="100" w:beforeAutospacing="1" w:after="100" w:afterAutospacing="1" w:line="240" w:lineRule="auto"/>
        <w:outlineLvl w:val="3"/>
        <w:rPr>
          <w:rFonts w:ascii="Times New Roman" w:eastAsia="Times New Roman" w:hAnsi="Times New Roman" w:cs="Times New Roman"/>
          <w:b/>
          <w:bCs/>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Cas pratique 9.1 : Négligence grave du médecin</w:t>
      </w:r>
    </w:p>
    <w:p w14:paraId="3B11F006" w14:textId="77777777" w:rsidR="008779B7" w:rsidRPr="008779B7" w:rsidRDefault="008779B7" w:rsidP="008779B7">
      <w:p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kern w:val="0"/>
          <w:sz w:val="24"/>
          <w:szCs w:val="24"/>
          <w:lang w:eastAsia="fr-CH"/>
          <w14:ligatures w14:val="none"/>
        </w:rPr>
        <w:t>Un médecin omet de vérifier les antécédents d’un patient avant une intervention, entraînant une complication grave.</w:t>
      </w:r>
    </w:p>
    <w:p w14:paraId="3A31F078" w14:textId="77777777" w:rsidR="008779B7" w:rsidRPr="008779B7" w:rsidRDefault="008779B7" w:rsidP="008779B7">
      <w:pPr>
        <w:numPr>
          <w:ilvl w:val="0"/>
          <w:numId w:val="41"/>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Réponse</w:t>
      </w:r>
      <w:r w:rsidRPr="008779B7">
        <w:rPr>
          <w:rFonts w:ascii="Times New Roman" w:eastAsia="Times New Roman" w:hAnsi="Times New Roman" w:cs="Times New Roman"/>
          <w:kern w:val="0"/>
          <w:sz w:val="24"/>
          <w:szCs w:val="24"/>
          <w:lang w:eastAsia="fr-CH"/>
          <w14:ligatures w14:val="none"/>
        </w:rPr>
        <w:t xml:space="preserve"> : La faute est caractérisée par une négligence grave dans la prise en charge du patient.</w:t>
      </w:r>
    </w:p>
    <w:p w14:paraId="28E300B7" w14:textId="77777777" w:rsidR="008779B7" w:rsidRPr="008779B7" w:rsidRDefault="008779B7" w:rsidP="008779B7">
      <w:pPr>
        <w:numPr>
          <w:ilvl w:val="0"/>
          <w:numId w:val="41"/>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Articles de loi</w:t>
      </w:r>
      <w:r w:rsidRPr="008779B7">
        <w:rPr>
          <w:rFonts w:ascii="Times New Roman" w:eastAsia="Times New Roman" w:hAnsi="Times New Roman" w:cs="Times New Roman"/>
          <w:kern w:val="0"/>
          <w:sz w:val="24"/>
          <w:szCs w:val="24"/>
          <w:lang w:eastAsia="fr-CH"/>
          <w14:ligatures w14:val="none"/>
        </w:rPr>
        <w:t xml:space="preserve"> : Code civil suisse sur la faute médicale.</w:t>
      </w:r>
    </w:p>
    <w:p w14:paraId="279F2D25" w14:textId="77777777" w:rsidR="008779B7" w:rsidRPr="008779B7" w:rsidRDefault="008779B7" w:rsidP="008779B7">
      <w:pPr>
        <w:numPr>
          <w:ilvl w:val="0"/>
          <w:numId w:val="41"/>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Analyse</w:t>
      </w:r>
      <w:r w:rsidRPr="008779B7">
        <w:rPr>
          <w:rFonts w:ascii="Times New Roman" w:eastAsia="Times New Roman" w:hAnsi="Times New Roman" w:cs="Times New Roman"/>
          <w:kern w:val="0"/>
          <w:sz w:val="24"/>
          <w:szCs w:val="24"/>
          <w:lang w:eastAsia="fr-CH"/>
          <w14:ligatures w14:val="none"/>
        </w:rPr>
        <w:t xml:space="preserve"> : La faute peut être intentionnelle ou résulter d’une négligence.</w:t>
      </w:r>
    </w:p>
    <w:p w14:paraId="2093B4EB" w14:textId="77777777" w:rsidR="008779B7" w:rsidRPr="008779B7" w:rsidRDefault="008779B7" w:rsidP="008779B7">
      <w:pPr>
        <w:numPr>
          <w:ilvl w:val="0"/>
          <w:numId w:val="41"/>
        </w:numPr>
        <w:spacing w:before="100" w:beforeAutospacing="1" w:after="100" w:afterAutospacing="1"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Tableau récapitulatif</w:t>
      </w:r>
      <w:r w:rsidRPr="008779B7">
        <w:rPr>
          <w:rFonts w:ascii="Times New Roman" w:eastAsia="Times New Roman" w:hAnsi="Times New Roman" w:cs="Times New Roman"/>
          <w:kern w:val="0"/>
          <w:sz w:val="24"/>
          <w:szCs w:val="24"/>
          <w:lang w:eastAsia="fr-CH"/>
          <w14:ligatures w14:val="none"/>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75"/>
        <w:gridCol w:w="1687"/>
        <w:gridCol w:w="2934"/>
      </w:tblGrid>
      <w:tr w:rsidR="008779B7" w:rsidRPr="008779B7" w14:paraId="1AF8765B" w14:textId="77777777" w:rsidTr="008779B7">
        <w:trPr>
          <w:tblHeader/>
          <w:tblCellSpacing w:w="15" w:type="dxa"/>
        </w:trPr>
        <w:tc>
          <w:tcPr>
            <w:tcW w:w="0" w:type="auto"/>
            <w:vAlign w:val="center"/>
            <w:hideMark/>
          </w:tcPr>
          <w:p w14:paraId="5D9051FE" w14:textId="77777777" w:rsidR="008779B7" w:rsidRPr="008779B7" w:rsidRDefault="008779B7" w:rsidP="008779B7">
            <w:pPr>
              <w:spacing w:after="0" w:line="240" w:lineRule="auto"/>
              <w:jc w:val="center"/>
              <w:rPr>
                <w:rFonts w:ascii="Times New Roman" w:eastAsia="Times New Roman" w:hAnsi="Times New Roman" w:cs="Times New Roman"/>
                <w:b/>
                <w:bCs/>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Cas pratique</w:t>
            </w:r>
          </w:p>
        </w:tc>
        <w:tc>
          <w:tcPr>
            <w:tcW w:w="0" w:type="auto"/>
            <w:vAlign w:val="center"/>
            <w:hideMark/>
          </w:tcPr>
          <w:p w14:paraId="04A66713" w14:textId="77777777" w:rsidR="008779B7" w:rsidRPr="008779B7" w:rsidRDefault="008779B7" w:rsidP="008779B7">
            <w:pPr>
              <w:spacing w:after="0" w:line="240" w:lineRule="auto"/>
              <w:jc w:val="center"/>
              <w:rPr>
                <w:rFonts w:ascii="Times New Roman" w:eastAsia="Times New Roman" w:hAnsi="Times New Roman" w:cs="Times New Roman"/>
                <w:b/>
                <w:bCs/>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Articles de loi</w:t>
            </w:r>
          </w:p>
        </w:tc>
        <w:tc>
          <w:tcPr>
            <w:tcW w:w="0" w:type="auto"/>
            <w:vAlign w:val="center"/>
            <w:hideMark/>
          </w:tcPr>
          <w:p w14:paraId="7ECD09A8" w14:textId="77777777" w:rsidR="008779B7" w:rsidRPr="008779B7" w:rsidRDefault="008779B7" w:rsidP="008779B7">
            <w:pPr>
              <w:spacing w:after="0" w:line="240" w:lineRule="auto"/>
              <w:jc w:val="center"/>
              <w:rPr>
                <w:rFonts w:ascii="Times New Roman" w:eastAsia="Times New Roman" w:hAnsi="Times New Roman" w:cs="Times New Roman"/>
                <w:b/>
                <w:bCs/>
                <w:kern w:val="0"/>
                <w:sz w:val="24"/>
                <w:szCs w:val="24"/>
                <w:lang w:eastAsia="fr-CH"/>
                <w14:ligatures w14:val="none"/>
              </w:rPr>
            </w:pPr>
            <w:r w:rsidRPr="008779B7">
              <w:rPr>
                <w:rFonts w:ascii="Times New Roman" w:eastAsia="Times New Roman" w:hAnsi="Times New Roman" w:cs="Times New Roman"/>
                <w:b/>
                <w:bCs/>
                <w:kern w:val="0"/>
                <w:sz w:val="24"/>
                <w:szCs w:val="24"/>
                <w:lang w:eastAsia="fr-CH"/>
                <w14:ligatures w14:val="none"/>
              </w:rPr>
              <w:t>Résumé</w:t>
            </w:r>
          </w:p>
        </w:tc>
      </w:tr>
      <w:tr w:rsidR="008779B7" w:rsidRPr="008779B7" w14:paraId="13C69B63" w14:textId="77777777" w:rsidTr="008779B7">
        <w:trPr>
          <w:tblCellSpacing w:w="15" w:type="dxa"/>
        </w:trPr>
        <w:tc>
          <w:tcPr>
            <w:tcW w:w="0" w:type="auto"/>
            <w:vAlign w:val="center"/>
            <w:hideMark/>
          </w:tcPr>
          <w:p w14:paraId="48E15281" w14:textId="77777777" w:rsidR="008779B7" w:rsidRPr="008779B7" w:rsidRDefault="008779B7" w:rsidP="008779B7">
            <w:pPr>
              <w:spacing w:after="0"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kern w:val="0"/>
                <w:sz w:val="24"/>
                <w:szCs w:val="24"/>
                <w:lang w:eastAsia="fr-CH"/>
                <w14:ligatures w14:val="none"/>
              </w:rPr>
              <w:t>9.1 – Faute médicale</w:t>
            </w:r>
          </w:p>
        </w:tc>
        <w:tc>
          <w:tcPr>
            <w:tcW w:w="0" w:type="auto"/>
            <w:vAlign w:val="center"/>
            <w:hideMark/>
          </w:tcPr>
          <w:p w14:paraId="072709B7" w14:textId="77777777" w:rsidR="008779B7" w:rsidRPr="008779B7" w:rsidRDefault="008779B7" w:rsidP="008779B7">
            <w:pPr>
              <w:spacing w:after="0"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kern w:val="0"/>
                <w:sz w:val="24"/>
                <w:szCs w:val="24"/>
                <w:lang w:eastAsia="fr-CH"/>
                <w14:ligatures w14:val="none"/>
              </w:rPr>
              <w:t>Code civil suisse</w:t>
            </w:r>
          </w:p>
        </w:tc>
        <w:tc>
          <w:tcPr>
            <w:tcW w:w="0" w:type="auto"/>
            <w:vAlign w:val="center"/>
            <w:hideMark/>
          </w:tcPr>
          <w:p w14:paraId="7FAC65B4" w14:textId="77777777" w:rsidR="008779B7" w:rsidRPr="008779B7" w:rsidRDefault="008779B7" w:rsidP="008779B7">
            <w:pPr>
              <w:spacing w:after="0" w:line="240" w:lineRule="auto"/>
              <w:rPr>
                <w:rFonts w:ascii="Times New Roman" w:eastAsia="Times New Roman" w:hAnsi="Times New Roman" w:cs="Times New Roman"/>
                <w:kern w:val="0"/>
                <w:sz w:val="24"/>
                <w:szCs w:val="24"/>
                <w:lang w:eastAsia="fr-CH"/>
                <w14:ligatures w14:val="none"/>
              </w:rPr>
            </w:pPr>
            <w:r w:rsidRPr="008779B7">
              <w:rPr>
                <w:rFonts w:ascii="Times New Roman" w:eastAsia="Times New Roman" w:hAnsi="Times New Roman" w:cs="Times New Roman"/>
                <w:kern w:val="0"/>
                <w:sz w:val="24"/>
                <w:szCs w:val="24"/>
                <w:lang w:eastAsia="fr-CH"/>
                <w14:ligatures w14:val="none"/>
              </w:rPr>
              <w:t>Négligence grave du médecin</w:t>
            </w:r>
          </w:p>
        </w:tc>
      </w:tr>
    </w:tbl>
    <w:p w14:paraId="5FB1C912" w14:textId="77777777" w:rsidR="00607855" w:rsidRPr="00607855" w:rsidRDefault="00607855" w:rsidP="00607855">
      <w:pPr>
        <w:pStyle w:val="P"/>
      </w:pPr>
    </w:p>
    <w:sectPr w:rsidR="00607855" w:rsidRPr="00607855" w:rsidSect="00E4742B">
      <w:headerReference w:type="even" r:id="rId10"/>
      <w:headerReference w:type="default" r:id="rId11"/>
      <w:footerReference w:type="even" r:id="rId12"/>
      <w:footerReference w:type="default" r:id="rId13"/>
      <w:headerReference w:type="first" r:id="rId14"/>
      <w:footerReference w:type="first" r:id="rId15"/>
      <w:pgSz w:w="11906" w:h="16838"/>
      <w:pgMar w:top="1134" w:right="1134" w:bottom="1134" w:left="1134" w:header="709" w:footer="363"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CBA5AE" w14:textId="77777777" w:rsidR="008779B7" w:rsidRDefault="008779B7" w:rsidP="00B822D2">
      <w:pPr>
        <w:spacing w:after="0" w:line="240" w:lineRule="auto"/>
      </w:pPr>
      <w:r>
        <w:separator/>
      </w:r>
    </w:p>
  </w:endnote>
  <w:endnote w:type="continuationSeparator" w:id="0">
    <w:p w14:paraId="358B402F" w14:textId="77777777" w:rsidR="008779B7" w:rsidRDefault="008779B7" w:rsidP="00B822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52E6F" w14:textId="77777777" w:rsidR="00A41177" w:rsidRDefault="00A4117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ADA43" w14:textId="77777777" w:rsidR="00B822D2" w:rsidRPr="00AD6B9D" w:rsidRDefault="00E4742B" w:rsidP="00AD6B9D">
    <w:pPr>
      <w:pStyle w:val="Pieddepage"/>
      <w:pBdr>
        <w:top w:val="single" w:sz="4" w:space="6" w:color="53717F" w:themeColor="text2" w:themeTint="BF"/>
      </w:pBdr>
      <w:tabs>
        <w:tab w:val="clear" w:pos="4536"/>
      </w:tabs>
      <w:rPr>
        <w:rFonts w:ascii="Arial" w:hAnsi="Arial" w:cs="Arial"/>
      </w:rPr>
    </w:pPr>
    <w:r w:rsidRPr="00AD6B9D">
      <w:rPr>
        <w:rFonts w:ascii="Arial" w:hAnsi="Arial" w:cs="Arial"/>
      </w:rPr>
      <w:t>© L. Petoud</w:t>
    </w:r>
    <w:r w:rsidR="00536263" w:rsidRPr="00AD6B9D">
      <w:rPr>
        <w:rFonts w:ascii="Arial" w:hAnsi="Arial" w:cs="Arial"/>
      </w:rPr>
      <w:t xml:space="preserve"> - </w:t>
    </w:r>
    <w:r w:rsidR="00536263" w:rsidRPr="00AD6B9D">
      <w:rPr>
        <w:rFonts w:ascii="Arial" w:hAnsi="Arial" w:cs="Arial"/>
      </w:rPr>
      <w:fldChar w:fldCharType="begin"/>
    </w:r>
    <w:r w:rsidR="00536263" w:rsidRPr="00AD6B9D">
      <w:rPr>
        <w:rFonts w:ascii="Arial" w:hAnsi="Arial" w:cs="Arial"/>
      </w:rPr>
      <w:instrText xml:space="preserve"> TIME  \@ "MMMM yyyy"  \* MERGEFORMAT </w:instrText>
    </w:r>
    <w:r w:rsidR="00536263" w:rsidRPr="00AD6B9D">
      <w:rPr>
        <w:rFonts w:ascii="Arial" w:hAnsi="Arial" w:cs="Arial"/>
      </w:rPr>
      <w:fldChar w:fldCharType="separate"/>
    </w:r>
    <w:r w:rsidR="008779B7">
      <w:rPr>
        <w:rFonts w:ascii="Arial" w:hAnsi="Arial" w:cs="Arial"/>
        <w:noProof/>
      </w:rPr>
      <w:t>mai 2025</w:t>
    </w:r>
    <w:r w:rsidR="00536263" w:rsidRPr="00AD6B9D">
      <w:rPr>
        <w:rFonts w:ascii="Arial" w:hAnsi="Arial" w:cs="Arial"/>
      </w:rPr>
      <w:fldChar w:fldCharType="end"/>
    </w:r>
    <w:r w:rsidRPr="00AD6B9D">
      <w:rPr>
        <w:rFonts w:ascii="Arial" w:hAnsi="Arial" w:cs="Arial"/>
      </w:rPr>
      <w:tab/>
    </w:r>
    <w:r w:rsidRPr="00AD6B9D">
      <w:rPr>
        <w:rFonts w:ascii="Arial" w:hAnsi="Arial" w:cs="Arial"/>
        <w:b/>
        <w:bCs/>
      </w:rPr>
      <w:fldChar w:fldCharType="begin"/>
    </w:r>
    <w:r w:rsidRPr="00AD6B9D">
      <w:rPr>
        <w:rFonts w:ascii="Arial" w:hAnsi="Arial" w:cs="Arial"/>
        <w:b/>
        <w:bCs/>
      </w:rPr>
      <w:instrText>PAGE  \* Arabic  \* MERGEFORMAT</w:instrText>
    </w:r>
    <w:r w:rsidRPr="00AD6B9D">
      <w:rPr>
        <w:rFonts w:ascii="Arial" w:hAnsi="Arial" w:cs="Arial"/>
        <w:b/>
        <w:bCs/>
      </w:rPr>
      <w:fldChar w:fldCharType="separate"/>
    </w:r>
    <w:r w:rsidRPr="00AD6B9D">
      <w:rPr>
        <w:rFonts w:ascii="Arial" w:hAnsi="Arial" w:cs="Arial"/>
        <w:b/>
        <w:bCs/>
        <w:lang w:val="fr-FR"/>
      </w:rPr>
      <w:t>1</w:t>
    </w:r>
    <w:r w:rsidRPr="00AD6B9D">
      <w:rPr>
        <w:rFonts w:ascii="Arial" w:hAnsi="Arial" w:cs="Arial"/>
        <w:b/>
        <w:bCs/>
      </w:rPr>
      <w:fldChar w:fldCharType="end"/>
    </w:r>
    <w:r w:rsidRPr="00AD6B9D">
      <w:rPr>
        <w:rFonts w:ascii="Arial" w:hAnsi="Arial" w:cs="Arial"/>
        <w:lang w:val="fr-FR"/>
      </w:rPr>
      <w:t xml:space="preserve"> sur </w:t>
    </w:r>
    <w:r w:rsidRPr="00AD6B9D">
      <w:rPr>
        <w:rFonts w:ascii="Arial" w:hAnsi="Arial" w:cs="Arial"/>
        <w:b/>
        <w:bCs/>
      </w:rPr>
      <w:fldChar w:fldCharType="begin"/>
    </w:r>
    <w:r w:rsidRPr="00AD6B9D">
      <w:rPr>
        <w:rFonts w:ascii="Arial" w:hAnsi="Arial" w:cs="Arial"/>
        <w:b/>
        <w:bCs/>
      </w:rPr>
      <w:instrText>NUMPAGES  \* Arabic  \* MERGEFORMAT</w:instrText>
    </w:r>
    <w:r w:rsidRPr="00AD6B9D">
      <w:rPr>
        <w:rFonts w:ascii="Arial" w:hAnsi="Arial" w:cs="Arial"/>
        <w:b/>
        <w:bCs/>
      </w:rPr>
      <w:fldChar w:fldCharType="separate"/>
    </w:r>
    <w:r w:rsidRPr="00AD6B9D">
      <w:rPr>
        <w:rFonts w:ascii="Arial" w:hAnsi="Arial" w:cs="Arial"/>
        <w:b/>
        <w:bCs/>
        <w:lang w:val="fr-FR"/>
      </w:rPr>
      <w:t>2</w:t>
    </w:r>
    <w:r w:rsidRPr="00AD6B9D">
      <w:rPr>
        <w:rFonts w:ascii="Arial" w:hAnsi="Arial" w:cs="Arial"/>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E62C1" w14:textId="77777777" w:rsidR="00A41177" w:rsidRDefault="00A4117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A50CA0" w14:textId="77777777" w:rsidR="008779B7" w:rsidRDefault="008779B7" w:rsidP="00B822D2">
      <w:pPr>
        <w:spacing w:after="0" w:line="240" w:lineRule="auto"/>
      </w:pPr>
      <w:r>
        <w:separator/>
      </w:r>
    </w:p>
  </w:footnote>
  <w:footnote w:type="continuationSeparator" w:id="0">
    <w:p w14:paraId="68760486" w14:textId="77777777" w:rsidR="008779B7" w:rsidRDefault="008779B7" w:rsidP="00B822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2B239" w14:textId="77777777" w:rsidR="00A41177" w:rsidRDefault="00A4117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608FC" w14:textId="77777777" w:rsidR="00B822D2" w:rsidRDefault="00A41177" w:rsidP="00A41177">
    <w:pPr>
      <w:pStyle w:val="En-tte"/>
      <w:pBdr>
        <w:bottom w:val="single" w:sz="4" w:space="3" w:color="53717F" w:themeColor="text2" w:themeTint="BF"/>
      </w:pBdr>
      <w:tabs>
        <w:tab w:val="clear" w:pos="4536"/>
      </w:tabs>
    </w:pPr>
    <w:r>
      <w:rPr>
        <w:noProof/>
      </w:rPr>
      <w:drawing>
        <wp:anchor distT="0" distB="0" distL="114300" distR="114300" simplePos="0" relativeHeight="251659264" behindDoc="0" locked="0" layoutInCell="1" allowOverlap="1" wp14:anchorId="5BB9DB2E" wp14:editId="041A4862">
          <wp:simplePos x="0" y="0"/>
          <wp:positionH relativeFrom="column">
            <wp:posOffset>-437727</wp:posOffset>
          </wp:positionH>
          <wp:positionV relativeFrom="paragraph">
            <wp:posOffset>-345652</wp:posOffset>
          </wp:positionV>
          <wp:extent cx="492338" cy="492338"/>
          <wp:effectExtent l="0" t="0" r="3175" b="3175"/>
          <wp:wrapNone/>
          <wp:docPr id="2030632570" name="Image 3" descr="Une image contenant symbole, logo, Graphique, clipar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801536" name="Image 3" descr="Une image contenant symbole, logo, Graphique, clipart&#10;&#10;Le contenu généré par l’IA peut être incorrect."/>
                  <pic:cNvPicPr/>
                </pic:nvPicPr>
                <pic:blipFill>
                  <a:blip r:embed="rId1">
                    <a:extLst>
                      <a:ext uri="{BEBA8EAE-BF5A-486C-A8C5-ECC9F3942E4B}">
                        <a14:imgProps xmlns:a14="http://schemas.microsoft.com/office/drawing/2010/main">
                          <a14:imgLayer r:embed="rId2">
                            <a14:imgEffect>
                              <a14:backgroundRemoval t="10000" b="90000" l="10000" r="90000"/>
                            </a14:imgEffect>
                          </a14:imgLayer>
                        </a14:imgProps>
                      </a:ext>
                    </a:extLst>
                  </a:blip>
                  <a:stretch>
                    <a:fillRect/>
                  </a:stretch>
                </pic:blipFill>
                <pic:spPr>
                  <a:xfrm>
                    <a:off x="0" y="0"/>
                    <a:ext cx="492338" cy="492338"/>
                  </a:xfrm>
                  <a:prstGeom prst="rect">
                    <a:avLst/>
                  </a:prstGeom>
                </pic:spPr>
              </pic:pic>
            </a:graphicData>
          </a:graphic>
          <wp14:sizeRelH relativeFrom="margin">
            <wp14:pctWidth>0</wp14:pctWidth>
          </wp14:sizeRelH>
          <wp14:sizeRelV relativeFrom="margin">
            <wp14:pctHeight>0</wp14:pctHeight>
          </wp14:sizeRelV>
        </wp:anchor>
      </w:drawing>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6D678" w14:textId="77777777" w:rsidR="00A41177" w:rsidRDefault="00A4117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83AF4"/>
    <w:multiLevelType w:val="hybridMultilevel"/>
    <w:tmpl w:val="2AAA2CE2"/>
    <w:lvl w:ilvl="0" w:tplc="31A883CC">
      <w:start w:val="1"/>
      <w:numFmt w:val="upperRoman"/>
      <w:pStyle w:val="Titre1"/>
      <w:lvlText w:val="%1."/>
      <w:lvlJc w:val="right"/>
      <w:pPr>
        <w:ind w:left="720" w:hanging="360"/>
      </w:pPr>
      <w:rPr>
        <w:rFonts w:hint="default"/>
        <w:b/>
        <w:bCs/>
        <w:color w:val="90C226" w:themeColor="accent1"/>
        <w:spacing w:val="-1"/>
        <w:w w:val="100"/>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 w15:restartNumberingAfterBreak="0">
    <w:nsid w:val="05C86E9A"/>
    <w:multiLevelType w:val="multilevel"/>
    <w:tmpl w:val="94ECA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0F5FE2"/>
    <w:multiLevelType w:val="multilevel"/>
    <w:tmpl w:val="58A8A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42261A"/>
    <w:multiLevelType w:val="multilevel"/>
    <w:tmpl w:val="E570A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57085A"/>
    <w:multiLevelType w:val="multilevel"/>
    <w:tmpl w:val="293A0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382ED7"/>
    <w:multiLevelType w:val="multilevel"/>
    <w:tmpl w:val="5AA83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C12ADD"/>
    <w:multiLevelType w:val="multilevel"/>
    <w:tmpl w:val="4D308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045847"/>
    <w:multiLevelType w:val="multilevel"/>
    <w:tmpl w:val="E54AC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826E9C"/>
    <w:multiLevelType w:val="multilevel"/>
    <w:tmpl w:val="4F721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AA488D"/>
    <w:multiLevelType w:val="multilevel"/>
    <w:tmpl w:val="03AAF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236439"/>
    <w:multiLevelType w:val="multilevel"/>
    <w:tmpl w:val="403CC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E2B0A6F"/>
    <w:multiLevelType w:val="multilevel"/>
    <w:tmpl w:val="FFB42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AE3D19"/>
    <w:multiLevelType w:val="multilevel"/>
    <w:tmpl w:val="61042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7702C1F"/>
    <w:multiLevelType w:val="multilevel"/>
    <w:tmpl w:val="DD78C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93644E9"/>
    <w:multiLevelType w:val="multilevel"/>
    <w:tmpl w:val="A7FC1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99B5E28"/>
    <w:multiLevelType w:val="multilevel"/>
    <w:tmpl w:val="C4E2B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1EB36AF"/>
    <w:multiLevelType w:val="multilevel"/>
    <w:tmpl w:val="2AE61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22A3823"/>
    <w:multiLevelType w:val="hybridMultilevel"/>
    <w:tmpl w:val="FFF27E8A"/>
    <w:lvl w:ilvl="0" w:tplc="F424B06E">
      <w:start w:val="1"/>
      <w:numFmt w:val="lowerLetter"/>
      <w:pStyle w:val="Paragraphedeliste"/>
      <w:lvlText w:val="(%1)"/>
      <w:lvlJc w:val="right"/>
      <w:pPr>
        <w:ind w:left="720" w:hanging="360"/>
      </w:pPr>
      <w:rPr>
        <w:rFonts w:hint="default"/>
        <w:b/>
        <w:bCs/>
        <w:color w:val="90C226" w:themeColor="accent1"/>
        <w:spacing w:val="-1"/>
        <w:w w:val="100"/>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8" w15:restartNumberingAfterBreak="0">
    <w:nsid w:val="34B37782"/>
    <w:multiLevelType w:val="multilevel"/>
    <w:tmpl w:val="EB886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94C6A12"/>
    <w:multiLevelType w:val="multilevel"/>
    <w:tmpl w:val="F244D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A27388D"/>
    <w:multiLevelType w:val="multilevel"/>
    <w:tmpl w:val="8C88A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AA10397"/>
    <w:multiLevelType w:val="multilevel"/>
    <w:tmpl w:val="B50C0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0570252"/>
    <w:multiLevelType w:val="multilevel"/>
    <w:tmpl w:val="87B48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B9005B1"/>
    <w:multiLevelType w:val="multilevel"/>
    <w:tmpl w:val="11EA9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C9B183D"/>
    <w:multiLevelType w:val="multilevel"/>
    <w:tmpl w:val="3C76F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DDE0D6D"/>
    <w:multiLevelType w:val="multilevel"/>
    <w:tmpl w:val="81669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F3C0319"/>
    <w:multiLevelType w:val="multilevel"/>
    <w:tmpl w:val="0290A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1544103"/>
    <w:multiLevelType w:val="multilevel"/>
    <w:tmpl w:val="7ECE1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67C2596"/>
    <w:multiLevelType w:val="multilevel"/>
    <w:tmpl w:val="3ADEA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88945A7"/>
    <w:multiLevelType w:val="multilevel"/>
    <w:tmpl w:val="D5604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9317F62"/>
    <w:multiLevelType w:val="multilevel"/>
    <w:tmpl w:val="299CB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9C23288"/>
    <w:multiLevelType w:val="multilevel"/>
    <w:tmpl w:val="A2726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BD422BA"/>
    <w:multiLevelType w:val="multilevel"/>
    <w:tmpl w:val="E52C5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5BB7C78"/>
    <w:multiLevelType w:val="multilevel"/>
    <w:tmpl w:val="ADE49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9E37A9F"/>
    <w:multiLevelType w:val="multilevel"/>
    <w:tmpl w:val="D44E6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BCD6E62"/>
    <w:multiLevelType w:val="multilevel"/>
    <w:tmpl w:val="E340A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C181859"/>
    <w:multiLevelType w:val="multilevel"/>
    <w:tmpl w:val="81120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E3C4F06"/>
    <w:multiLevelType w:val="multilevel"/>
    <w:tmpl w:val="BAE2F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E56188B"/>
    <w:multiLevelType w:val="multilevel"/>
    <w:tmpl w:val="83164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34B538A"/>
    <w:multiLevelType w:val="multilevel"/>
    <w:tmpl w:val="37D8D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98A74C9"/>
    <w:multiLevelType w:val="multilevel"/>
    <w:tmpl w:val="16924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58625918">
    <w:abstractNumId w:val="0"/>
  </w:num>
  <w:num w:numId="2" w16cid:durableId="2079207191">
    <w:abstractNumId w:val="17"/>
  </w:num>
  <w:num w:numId="3" w16cid:durableId="1530532093">
    <w:abstractNumId w:val="5"/>
  </w:num>
  <w:num w:numId="4" w16cid:durableId="115955777">
    <w:abstractNumId w:val="3"/>
  </w:num>
  <w:num w:numId="5" w16cid:durableId="1231035128">
    <w:abstractNumId w:val="4"/>
  </w:num>
  <w:num w:numId="6" w16cid:durableId="656880277">
    <w:abstractNumId w:val="27"/>
  </w:num>
  <w:num w:numId="7" w16cid:durableId="1994411052">
    <w:abstractNumId w:val="33"/>
  </w:num>
  <w:num w:numId="8" w16cid:durableId="495346901">
    <w:abstractNumId w:val="8"/>
  </w:num>
  <w:num w:numId="9" w16cid:durableId="715279819">
    <w:abstractNumId w:val="35"/>
  </w:num>
  <w:num w:numId="10" w16cid:durableId="1270815377">
    <w:abstractNumId w:val="19"/>
  </w:num>
  <w:num w:numId="11" w16cid:durableId="1164322317">
    <w:abstractNumId w:val="14"/>
  </w:num>
  <w:num w:numId="12" w16cid:durableId="520358331">
    <w:abstractNumId w:val="11"/>
  </w:num>
  <w:num w:numId="13" w16cid:durableId="1277178187">
    <w:abstractNumId w:val="9"/>
  </w:num>
  <w:num w:numId="14" w16cid:durableId="633217604">
    <w:abstractNumId w:val="40"/>
  </w:num>
  <w:num w:numId="15" w16cid:durableId="482937402">
    <w:abstractNumId w:val="21"/>
  </w:num>
  <w:num w:numId="16" w16cid:durableId="452679829">
    <w:abstractNumId w:val="20"/>
  </w:num>
  <w:num w:numId="17" w16cid:durableId="965042591">
    <w:abstractNumId w:val="26"/>
  </w:num>
  <w:num w:numId="18" w16cid:durableId="563099338">
    <w:abstractNumId w:val="23"/>
  </w:num>
  <w:num w:numId="19" w16cid:durableId="1690830320">
    <w:abstractNumId w:val="36"/>
  </w:num>
  <w:num w:numId="20" w16cid:durableId="1735816779">
    <w:abstractNumId w:val="37"/>
  </w:num>
  <w:num w:numId="21" w16cid:durableId="184754301">
    <w:abstractNumId w:val="16"/>
  </w:num>
  <w:num w:numId="22" w16cid:durableId="938565361">
    <w:abstractNumId w:val="31"/>
  </w:num>
  <w:num w:numId="23" w16cid:durableId="136337790">
    <w:abstractNumId w:val="10"/>
  </w:num>
  <w:num w:numId="24" w16cid:durableId="945235179">
    <w:abstractNumId w:val="22"/>
  </w:num>
  <w:num w:numId="25" w16cid:durableId="1235513180">
    <w:abstractNumId w:val="12"/>
  </w:num>
  <w:num w:numId="26" w16cid:durableId="1431928301">
    <w:abstractNumId w:val="15"/>
  </w:num>
  <w:num w:numId="27" w16cid:durableId="232205258">
    <w:abstractNumId w:val="7"/>
  </w:num>
  <w:num w:numId="28" w16cid:durableId="768896042">
    <w:abstractNumId w:val="34"/>
  </w:num>
  <w:num w:numId="29" w16cid:durableId="1696150744">
    <w:abstractNumId w:val="25"/>
  </w:num>
  <w:num w:numId="30" w16cid:durableId="642468460">
    <w:abstractNumId w:val="28"/>
  </w:num>
  <w:num w:numId="31" w16cid:durableId="1166244726">
    <w:abstractNumId w:val="29"/>
  </w:num>
  <w:num w:numId="32" w16cid:durableId="551427205">
    <w:abstractNumId w:val="13"/>
  </w:num>
  <w:num w:numId="33" w16cid:durableId="751895676">
    <w:abstractNumId w:val="1"/>
  </w:num>
  <w:num w:numId="34" w16cid:durableId="70003594">
    <w:abstractNumId w:val="6"/>
  </w:num>
  <w:num w:numId="35" w16cid:durableId="1660570479">
    <w:abstractNumId w:val="24"/>
  </w:num>
  <w:num w:numId="36" w16cid:durableId="1645810735">
    <w:abstractNumId w:val="38"/>
  </w:num>
  <w:num w:numId="37" w16cid:durableId="575090153">
    <w:abstractNumId w:val="32"/>
  </w:num>
  <w:num w:numId="38" w16cid:durableId="1773470448">
    <w:abstractNumId w:val="18"/>
  </w:num>
  <w:num w:numId="39" w16cid:durableId="120273640">
    <w:abstractNumId w:val="30"/>
  </w:num>
  <w:num w:numId="40" w16cid:durableId="1703238873">
    <w:abstractNumId w:val="39"/>
  </w:num>
  <w:num w:numId="41" w16cid:durableId="17457577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7"/>
  <w:proofState w:spelling="clean" w:grammar="clean"/>
  <w:attachedTemplate r:id="rId1"/>
  <w:defaultTabStop w:val="708"/>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9B7"/>
    <w:rsid w:val="00036700"/>
    <w:rsid w:val="002E02D3"/>
    <w:rsid w:val="00381710"/>
    <w:rsid w:val="00416CF2"/>
    <w:rsid w:val="00444503"/>
    <w:rsid w:val="005067A7"/>
    <w:rsid w:val="00536263"/>
    <w:rsid w:val="00540ACB"/>
    <w:rsid w:val="00607855"/>
    <w:rsid w:val="006637E1"/>
    <w:rsid w:val="006A2FA5"/>
    <w:rsid w:val="008779B7"/>
    <w:rsid w:val="008F5761"/>
    <w:rsid w:val="009354CB"/>
    <w:rsid w:val="009B518F"/>
    <w:rsid w:val="00A41177"/>
    <w:rsid w:val="00AB7BF7"/>
    <w:rsid w:val="00AD6B9D"/>
    <w:rsid w:val="00B822D2"/>
    <w:rsid w:val="00BB7EA2"/>
    <w:rsid w:val="00CE58FA"/>
    <w:rsid w:val="00E4742B"/>
    <w:rsid w:val="00EF12C4"/>
    <w:rsid w:val="00F72E15"/>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EC495E"/>
  <w15:chartTrackingRefBased/>
  <w15:docId w15:val="{EAA739A6-1E32-41EF-85AF-B0CE3921D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B9D"/>
  </w:style>
  <w:style w:type="paragraph" w:styleId="Titre1">
    <w:name w:val="heading 1"/>
    <w:basedOn w:val="Normal"/>
    <w:next w:val="Normal"/>
    <w:link w:val="Titre1Car"/>
    <w:uiPriority w:val="9"/>
    <w:qFormat/>
    <w:rsid w:val="00CE58FA"/>
    <w:pPr>
      <w:keepNext/>
      <w:keepLines/>
      <w:numPr>
        <w:numId w:val="1"/>
      </w:numPr>
      <w:pBdr>
        <w:bottom w:val="single" w:sz="4" w:space="4" w:color="53717F" w:themeColor="text2" w:themeTint="BF"/>
      </w:pBdr>
      <w:spacing w:before="80" w:after="80"/>
      <w:jc w:val="both"/>
      <w:outlineLvl w:val="0"/>
    </w:pPr>
    <w:rPr>
      <w:rFonts w:ascii="Arial" w:eastAsiaTheme="majorEastAsia" w:hAnsi="Arial" w:cs="Arial"/>
      <w:b/>
      <w:bCs/>
      <w:color w:val="0070C0"/>
      <w:sz w:val="24"/>
      <w:szCs w:val="24"/>
    </w:rPr>
  </w:style>
  <w:style w:type="paragraph" w:styleId="Titre2">
    <w:name w:val="heading 2"/>
    <w:basedOn w:val="Normal"/>
    <w:next w:val="Normal"/>
    <w:link w:val="Titre2Car"/>
    <w:uiPriority w:val="9"/>
    <w:semiHidden/>
    <w:unhideWhenUsed/>
    <w:qFormat/>
    <w:rsid w:val="00B822D2"/>
    <w:pPr>
      <w:keepNext/>
      <w:keepLines/>
      <w:spacing w:before="160" w:after="80"/>
      <w:outlineLvl w:val="1"/>
    </w:pPr>
    <w:rPr>
      <w:rFonts w:asciiTheme="majorHAnsi" w:eastAsiaTheme="majorEastAsia" w:hAnsiTheme="majorHAnsi" w:cstheme="majorBidi"/>
      <w:color w:val="6B911C" w:themeColor="accent1" w:themeShade="BF"/>
      <w:sz w:val="32"/>
      <w:szCs w:val="32"/>
    </w:rPr>
  </w:style>
  <w:style w:type="paragraph" w:styleId="Titre3">
    <w:name w:val="heading 3"/>
    <w:basedOn w:val="Normal"/>
    <w:next w:val="Normal"/>
    <w:link w:val="Titre3Car"/>
    <w:uiPriority w:val="9"/>
    <w:semiHidden/>
    <w:unhideWhenUsed/>
    <w:qFormat/>
    <w:rsid w:val="00B822D2"/>
    <w:pPr>
      <w:keepNext/>
      <w:keepLines/>
      <w:spacing w:before="160" w:after="80"/>
      <w:outlineLvl w:val="2"/>
    </w:pPr>
    <w:rPr>
      <w:rFonts w:eastAsiaTheme="majorEastAsia" w:cstheme="majorBidi"/>
      <w:color w:val="6B911C" w:themeColor="accent1" w:themeShade="BF"/>
      <w:sz w:val="28"/>
      <w:szCs w:val="28"/>
    </w:rPr>
  </w:style>
  <w:style w:type="paragraph" w:styleId="Titre4">
    <w:name w:val="heading 4"/>
    <w:basedOn w:val="Normal"/>
    <w:next w:val="Normal"/>
    <w:link w:val="Titre4Car"/>
    <w:uiPriority w:val="9"/>
    <w:semiHidden/>
    <w:unhideWhenUsed/>
    <w:qFormat/>
    <w:rsid w:val="00B822D2"/>
    <w:pPr>
      <w:keepNext/>
      <w:keepLines/>
      <w:spacing w:before="80" w:after="40"/>
      <w:outlineLvl w:val="3"/>
    </w:pPr>
    <w:rPr>
      <w:rFonts w:eastAsiaTheme="majorEastAsia" w:cstheme="majorBidi"/>
      <w:i/>
      <w:iCs/>
      <w:color w:val="6B911C" w:themeColor="accent1" w:themeShade="BF"/>
    </w:rPr>
  </w:style>
  <w:style w:type="paragraph" w:styleId="Titre5">
    <w:name w:val="heading 5"/>
    <w:basedOn w:val="Normal"/>
    <w:next w:val="Normal"/>
    <w:link w:val="Titre5Car"/>
    <w:uiPriority w:val="9"/>
    <w:semiHidden/>
    <w:unhideWhenUsed/>
    <w:qFormat/>
    <w:rsid w:val="00B822D2"/>
    <w:pPr>
      <w:keepNext/>
      <w:keepLines/>
      <w:spacing w:before="80" w:after="40"/>
      <w:outlineLvl w:val="4"/>
    </w:pPr>
    <w:rPr>
      <w:rFonts w:eastAsiaTheme="majorEastAsia" w:cstheme="majorBidi"/>
      <w:color w:val="6B911C" w:themeColor="accent1" w:themeShade="BF"/>
    </w:rPr>
  </w:style>
  <w:style w:type="paragraph" w:styleId="Titre6">
    <w:name w:val="heading 6"/>
    <w:basedOn w:val="Normal"/>
    <w:next w:val="Normal"/>
    <w:link w:val="Titre6Car"/>
    <w:uiPriority w:val="9"/>
    <w:semiHidden/>
    <w:unhideWhenUsed/>
    <w:qFormat/>
    <w:rsid w:val="00B822D2"/>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B822D2"/>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B822D2"/>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B822D2"/>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E58FA"/>
    <w:rPr>
      <w:rFonts w:ascii="Arial" w:eastAsiaTheme="majorEastAsia" w:hAnsi="Arial" w:cs="Arial"/>
      <w:b/>
      <w:bCs/>
      <w:color w:val="0070C0"/>
      <w:sz w:val="24"/>
      <w:szCs w:val="24"/>
    </w:rPr>
  </w:style>
  <w:style w:type="character" w:customStyle="1" w:styleId="Titre2Car">
    <w:name w:val="Titre 2 Car"/>
    <w:basedOn w:val="Policepardfaut"/>
    <w:link w:val="Titre2"/>
    <w:uiPriority w:val="9"/>
    <w:semiHidden/>
    <w:rsid w:val="00B822D2"/>
    <w:rPr>
      <w:rFonts w:asciiTheme="majorHAnsi" w:eastAsiaTheme="majorEastAsia" w:hAnsiTheme="majorHAnsi" w:cstheme="majorBidi"/>
      <w:color w:val="6B911C" w:themeColor="accent1" w:themeShade="BF"/>
      <w:sz w:val="32"/>
      <w:szCs w:val="32"/>
    </w:rPr>
  </w:style>
  <w:style w:type="character" w:customStyle="1" w:styleId="Titre3Car">
    <w:name w:val="Titre 3 Car"/>
    <w:basedOn w:val="Policepardfaut"/>
    <w:link w:val="Titre3"/>
    <w:uiPriority w:val="9"/>
    <w:semiHidden/>
    <w:rsid w:val="00B822D2"/>
    <w:rPr>
      <w:rFonts w:eastAsiaTheme="majorEastAsia" w:cstheme="majorBidi"/>
      <w:color w:val="6B911C" w:themeColor="accent1" w:themeShade="BF"/>
      <w:sz w:val="28"/>
      <w:szCs w:val="28"/>
    </w:rPr>
  </w:style>
  <w:style w:type="character" w:customStyle="1" w:styleId="Titre4Car">
    <w:name w:val="Titre 4 Car"/>
    <w:basedOn w:val="Policepardfaut"/>
    <w:link w:val="Titre4"/>
    <w:uiPriority w:val="9"/>
    <w:semiHidden/>
    <w:rsid w:val="00B822D2"/>
    <w:rPr>
      <w:rFonts w:eastAsiaTheme="majorEastAsia" w:cstheme="majorBidi"/>
      <w:i/>
      <w:iCs/>
      <w:color w:val="6B911C" w:themeColor="accent1" w:themeShade="BF"/>
    </w:rPr>
  </w:style>
  <w:style w:type="character" w:customStyle="1" w:styleId="Titre5Car">
    <w:name w:val="Titre 5 Car"/>
    <w:basedOn w:val="Policepardfaut"/>
    <w:link w:val="Titre5"/>
    <w:uiPriority w:val="9"/>
    <w:semiHidden/>
    <w:rsid w:val="00B822D2"/>
    <w:rPr>
      <w:rFonts w:eastAsiaTheme="majorEastAsia" w:cstheme="majorBidi"/>
      <w:color w:val="6B911C" w:themeColor="accent1" w:themeShade="BF"/>
    </w:rPr>
  </w:style>
  <w:style w:type="character" w:customStyle="1" w:styleId="Titre6Car">
    <w:name w:val="Titre 6 Car"/>
    <w:basedOn w:val="Policepardfaut"/>
    <w:link w:val="Titre6"/>
    <w:uiPriority w:val="9"/>
    <w:semiHidden/>
    <w:rsid w:val="00B822D2"/>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B822D2"/>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B822D2"/>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B822D2"/>
    <w:rPr>
      <w:rFonts w:eastAsiaTheme="majorEastAsia" w:cstheme="majorBidi"/>
      <w:color w:val="272727" w:themeColor="text1" w:themeTint="D8"/>
    </w:rPr>
  </w:style>
  <w:style w:type="paragraph" w:styleId="Titre">
    <w:name w:val="Title"/>
    <w:basedOn w:val="Normal"/>
    <w:next w:val="Normal"/>
    <w:link w:val="TitreCar"/>
    <w:uiPriority w:val="10"/>
    <w:qFormat/>
    <w:rsid w:val="00B822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B822D2"/>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B822D2"/>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B822D2"/>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B822D2"/>
    <w:pPr>
      <w:spacing w:before="160"/>
      <w:jc w:val="center"/>
    </w:pPr>
    <w:rPr>
      <w:i/>
      <w:iCs/>
      <w:color w:val="404040" w:themeColor="text1" w:themeTint="BF"/>
    </w:rPr>
  </w:style>
  <w:style w:type="character" w:customStyle="1" w:styleId="CitationCar">
    <w:name w:val="Citation Car"/>
    <w:basedOn w:val="Policepardfaut"/>
    <w:link w:val="Citation"/>
    <w:uiPriority w:val="29"/>
    <w:rsid w:val="00B822D2"/>
    <w:rPr>
      <w:i/>
      <w:iCs/>
      <w:color w:val="404040" w:themeColor="text1" w:themeTint="BF"/>
    </w:rPr>
  </w:style>
  <w:style w:type="paragraph" w:styleId="Paragraphedeliste">
    <w:name w:val="List Paragraph"/>
    <w:basedOn w:val="Normal"/>
    <w:uiPriority w:val="34"/>
    <w:qFormat/>
    <w:rsid w:val="00607855"/>
    <w:pPr>
      <w:numPr>
        <w:numId w:val="2"/>
      </w:numPr>
      <w:spacing w:before="60" w:after="60"/>
      <w:ind w:left="1134"/>
      <w:contextualSpacing/>
      <w:jc w:val="both"/>
    </w:pPr>
    <w:rPr>
      <w:rFonts w:ascii="Arial" w:hAnsi="Arial" w:cs="Arial"/>
      <w:sz w:val="20"/>
      <w:szCs w:val="20"/>
    </w:rPr>
  </w:style>
  <w:style w:type="character" w:styleId="Accentuationintense">
    <w:name w:val="Intense Emphasis"/>
    <w:basedOn w:val="Policepardfaut"/>
    <w:uiPriority w:val="21"/>
    <w:qFormat/>
    <w:rsid w:val="00B822D2"/>
    <w:rPr>
      <w:i/>
      <w:iCs/>
      <w:color w:val="6B911C" w:themeColor="accent1" w:themeShade="BF"/>
    </w:rPr>
  </w:style>
  <w:style w:type="paragraph" w:styleId="Citationintense">
    <w:name w:val="Intense Quote"/>
    <w:basedOn w:val="Normal"/>
    <w:next w:val="Normal"/>
    <w:link w:val="CitationintenseCar"/>
    <w:uiPriority w:val="30"/>
    <w:qFormat/>
    <w:rsid w:val="00B822D2"/>
    <w:pPr>
      <w:pBdr>
        <w:top w:val="single" w:sz="4" w:space="10" w:color="6B911C" w:themeColor="accent1" w:themeShade="BF"/>
        <w:bottom w:val="single" w:sz="4" w:space="10" w:color="6B911C" w:themeColor="accent1" w:themeShade="BF"/>
      </w:pBdr>
      <w:spacing w:before="360" w:after="360"/>
      <w:ind w:left="864" w:right="864"/>
      <w:jc w:val="center"/>
    </w:pPr>
    <w:rPr>
      <w:i/>
      <w:iCs/>
      <w:color w:val="6B911C" w:themeColor="accent1" w:themeShade="BF"/>
    </w:rPr>
  </w:style>
  <w:style w:type="character" w:customStyle="1" w:styleId="CitationintenseCar">
    <w:name w:val="Citation intense Car"/>
    <w:basedOn w:val="Policepardfaut"/>
    <w:link w:val="Citationintense"/>
    <w:uiPriority w:val="30"/>
    <w:rsid w:val="00B822D2"/>
    <w:rPr>
      <w:i/>
      <w:iCs/>
      <w:color w:val="6B911C" w:themeColor="accent1" w:themeShade="BF"/>
    </w:rPr>
  </w:style>
  <w:style w:type="character" w:styleId="Rfrenceintense">
    <w:name w:val="Intense Reference"/>
    <w:basedOn w:val="Policepardfaut"/>
    <w:uiPriority w:val="32"/>
    <w:qFormat/>
    <w:rsid w:val="00B822D2"/>
    <w:rPr>
      <w:b/>
      <w:bCs/>
      <w:smallCaps/>
      <w:color w:val="6B911C" w:themeColor="accent1" w:themeShade="BF"/>
      <w:spacing w:val="5"/>
    </w:rPr>
  </w:style>
  <w:style w:type="paragraph" w:styleId="En-tte">
    <w:name w:val="header"/>
    <w:basedOn w:val="Normal"/>
    <w:link w:val="En-tteCar"/>
    <w:uiPriority w:val="99"/>
    <w:unhideWhenUsed/>
    <w:rsid w:val="00B822D2"/>
    <w:pPr>
      <w:tabs>
        <w:tab w:val="center" w:pos="4536"/>
        <w:tab w:val="right" w:pos="9072"/>
      </w:tabs>
      <w:spacing w:after="0" w:line="240" w:lineRule="auto"/>
    </w:pPr>
  </w:style>
  <w:style w:type="character" w:customStyle="1" w:styleId="En-tteCar">
    <w:name w:val="En-tête Car"/>
    <w:basedOn w:val="Policepardfaut"/>
    <w:link w:val="En-tte"/>
    <w:uiPriority w:val="99"/>
    <w:rsid w:val="00B822D2"/>
  </w:style>
  <w:style w:type="paragraph" w:styleId="Pieddepage">
    <w:name w:val="footer"/>
    <w:basedOn w:val="Normal"/>
    <w:link w:val="PieddepageCar"/>
    <w:uiPriority w:val="99"/>
    <w:unhideWhenUsed/>
    <w:rsid w:val="00B822D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822D2"/>
  </w:style>
  <w:style w:type="paragraph" w:styleId="Sansinterligne">
    <w:name w:val="No Spacing"/>
    <w:link w:val="SansinterligneCar"/>
    <w:uiPriority w:val="1"/>
    <w:qFormat/>
    <w:rsid w:val="00E4742B"/>
    <w:pPr>
      <w:spacing w:after="0" w:line="240" w:lineRule="auto"/>
    </w:pPr>
    <w:rPr>
      <w:rFonts w:eastAsiaTheme="minorEastAsia"/>
      <w:kern w:val="0"/>
      <w:lang w:eastAsia="fr-CH"/>
      <w14:ligatures w14:val="none"/>
    </w:rPr>
  </w:style>
  <w:style w:type="character" w:customStyle="1" w:styleId="SansinterligneCar">
    <w:name w:val="Sans interligne Car"/>
    <w:basedOn w:val="Policepardfaut"/>
    <w:link w:val="Sansinterligne"/>
    <w:uiPriority w:val="1"/>
    <w:rsid w:val="00E4742B"/>
    <w:rPr>
      <w:rFonts w:eastAsiaTheme="minorEastAsia"/>
      <w:kern w:val="0"/>
      <w:lang w:eastAsia="fr-CH"/>
      <w14:ligatures w14:val="none"/>
    </w:rPr>
  </w:style>
  <w:style w:type="paragraph" w:customStyle="1" w:styleId="P">
    <w:name w:val="P"/>
    <w:basedOn w:val="Paragraphedeliste"/>
    <w:autoRedefine/>
    <w:qFormat/>
    <w:rsid w:val="00607855"/>
    <w:pPr>
      <w:numPr>
        <w:numId w:val="0"/>
      </w:numPr>
      <w:spacing w:line="276" w:lineRule="auto"/>
      <w:ind w:left="709"/>
    </w:pPr>
    <w:rPr>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746822">
      <w:bodyDiv w:val="1"/>
      <w:marLeft w:val="0"/>
      <w:marRight w:val="0"/>
      <w:marTop w:val="0"/>
      <w:marBottom w:val="0"/>
      <w:divBdr>
        <w:top w:val="none" w:sz="0" w:space="0" w:color="auto"/>
        <w:left w:val="none" w:sz="0" w:space="0" w:color="auto"/>
        <w:bottom w:val="none" w:sz="0" w:space="0" w:color="auto"/>
        <w:right w:val="none" w:sz="0" w:space="0" w:color="auto"/>
      </w:divBdr>
      <w:divsChild>
        <w:div w:id="531580226">
          <w:marLeft w:val="0"/>
          <w:marRight w:val="0"/>
          <w:marTop w:val="0"/>
          <w:marBottom w:val="0"/>
          <w:divBdr>
            <w:top w:val="none" w:sz="0" w:space="0" w:color="auto"/>
            <w:left w:val="none" w:sz="0" w:space="0" w:color="auto"/>
            <w:bottom w:val="none" w:sz="0" w:space="0" w:color="auto"/>
            <w:right w:val="none" w:sz="0" w:space="0" w:color="auto"/>
          </w:divBdr>
          <w:divsChild>
            <w:div w:id="1063217500">
              <w:marLeft w:val="0"/>
              <w:marRight w:val="0"/>
              <w:marTop w:val="0"/>
              <w:marBottom w:val="0"/>
              <w:divBdr>
                <w:top w:val="none" w:sz="0" w:space="0" w:color="auto"/>
                <w:left w:val="none" w:sz="0" w:space="0" w:color="auto"/>
                <w:bottom w:val="none" w:sz="0" w:space="0" w:color="auto"/>
                <w:right w:val="none" w:sz="0" w:space="0" w:color="auto"/>
              </w:divBdr>
            </w:div>
          </w:divsChild>
        </w:div>
        <w:div w:id="1224373608">
          <w:marLeft w:val="0"/>
          <w:marRight w:val="0"/>
          <w:marTop w:val="0"/>
          <w:marBottom w:val="0"/>
          <w:divBdr>
            <w:top w:val="none" w:sz="0" w:space="0" w:color="auto"/>
            <w:left w:val="none" w:sz="0" w:space="0" w:color="auto"/>
            <w:bottom w:val="none" w:sz="0" w:space="0" w:color="auto"/>
            <w:right w:val="none" w:sz="0" w:space="0" w:color="auto"/>
          </w:divBdr>
          <w:divsChild>
            <w:div w:id="1035540423">
              <w:marLeft w:val="0"/>
              <w:marRight w:val="0"/>
              <w:marTop w:val="0"/>
              <w:marBottom w:val="0"/>
              <w:divBdr>
                <w:top w:val="none" w:sz="0" w:space="0" w:color="auto"/>
                <w:left w:val="none" w:sz="0" w:space="0" w:color="auto"/>
                <w:bottom w:val="none" w:sz="0" w:space="0" w:color="auto"/>
                <w:right w:val="none" w:sz="0" w:space="0" w:color="auto"/>
              </w:divBdr>
            </w:div>
          </w:divsChild>
        </w:div>
        <w:div w:id="1317032078">
          <w:marLeft w:val="0"/>
          <w:marRight w:val="0"/>
          <w:marTop w:val="0"/>
          <w:marBottom w:val="0"/>
          <w:divBdr>
            <w:top w:val="none" w:sz="0" w:space="0" w:color="auto"/>
            <w:left w:val="none" w:sz="0" w:space="0" w:color="auto"/>
            <w:bottom w:val="none" w:sz="0" w:space="0" w:color="auto"/>
            <w:right w:val="none" w:sz="0" w:space="0" w:color="auto"/>
          </w:divBdr>
          <w:divsChild>
            <w:div w:id="1158808625">
              <w:marLeft w:val="0"/>
              <w:marRight w:val="0"/>
              <w:marTop w:val="0"/>
              <w:marBottom w:val="0"/>
              <w:divBdr>
                <w:top w:val="none" w:sz="0" w:space="0" w:color="auto"/>
                <w:left w:val="none" w:sz="0" w:space="0" w:color="auto"/>
                <w:bottom w:val="none" w:sz="0" w:space="0" w:color="auto"/>
                <w:right w:val="none" w:sz="0" w:space="0" w:color="auto"/>
              </w:divBdr>
            </w:div>
          </w:divsChild>
        </w:div>
        <w:div w:id="915431403">
          <w:marLeft w:val="0"/>
          <w:marRight w:val="0"/>
          <w:marTop w:val="0"/>
          <w:marBottom w:val="0"/>
          <w:divBdr>
            <w:top w:val="none" w:sz="0" w:space="0" w:color="auto"/>
            <w:left w:val="none" w:sz="0" w:space="0" w:color="auto"/>
            <w:bottom w:val="none" w:sz="0" w:space="0" w:color="auto"/>
            <w:right w:val="none" w:sz="0" w:space="0" w:color="auto"/>
          </w:divBdr>
          <w:divsChild>
            <w:div w:id="2143841075">
              <w:marLeft w:val="0"/>
              <w:marRight w:val="0"/>
              <w:marTop w:val="0"/>
              <w:marBottom w:val="0"/>
              <w:divBdr>
                <w:top w:val="none" w:sz="0" w:space="0" w:color="auto"/>
                <w:left w:val="none" w:sz="0" w:space="0" w:color="auto"/>
                <w:bottom w:val="none" w:sz="0" w:space="0" w:color="auto"/>
                <w:right w:val="none" w:sz="0" w:space="0" w:color="auto"/>
              </w:divBdr>
            </w:div>
          </w:divsChild>
        </w:div>
        <w:div w:id="951280218">
          <w:marLeft w:val="0"/>
          <w:marRight w:val="0"/>
          <w:marTop w:val="0"/>
          <w:marBottom w:val="0"/>
          <w:divBdr>
            <w:top w:val="none" w:sz="0" w:space="0" w:color="auto"/>
            <w:left w:val="none" w:sz="0" w:space="0" w:color="auto"/>
            <w:bottom w:val="none" w:sz="0" w:space="0" w:color="auto"/>
            <w:right w:val="none" w:sz="0" w:space="0" w:color="auto"/>
          </w:divBdr>
          <w:divsChild>
            <w:div w:id="850752668">
              <w:marLeft w:val="0"/>
              <w:marRight w:val="0"/>
              <w:marTop w:val="0"/>
              <w:marBottom w:val="0"/>
              <w:divBdr>
                <w:top w:val="none" w:sz="0" w:space="0" w:color="auto"/>
                <w:left w:val="none" w:sz="0" w:space="0" w:color="auto"/>
                <w:bottom w:val="none" w:sz="0" w:space="0" w:color="auto"/>
                <w:right w:val="none" w:sz="0" w:space="0" w:color="auto"/>
              </w:divBdr>
            </w:div>
          </w:divsChild>
        </w:div>
        <w:div w:id="1189030073">
          <w:marLeft w:val="0"/>
          <w:marRight w:val="0"/>
          <w:marTop w:val="0"/>
          <w:marBottom w:val="0"/>
          <w:divBdr>
            <w:top w:val="none" w:sz="0" w:space="0" w:color="auto"/>
            <w:left w:val="none" w:sz="0" w:space="0" w:color="auto"/>
            <w:bottom w:val="none" w:sz="0" w:space="0" w:color="auto"/>
            <w:right w:val="none" w:sz="0" w:space="0" w:color="auto"/>
          </w:divBdr>
          <w:divsChild>
            <w:div w:id="1043595940">
              <w:marLeft w:val="0"/>
              <w:marRight w:val="0"/>
              <w:marTop w:val="0"/>
              <w:marBottom w:val="0"/>
              <w:divBdr>
                <w:top w:val="none" w:sz="0" w:space="0" w:color="auto"/>
                <w:left w:val="none" w:sz="0" w:space="0" w:color="auto"/>
                <w:bottom w:val="none" w:sz="0" w:space="0" w:color="auto"/>
                <w:right w:val="none" w:sz="0" w:space="0" w:color="auto"/>
              </w:divBdr>
            </w:div>
          </w:divsChild>
        </w:div>
        <w:div w:id="1306736533">
          <w:marLeft w:val="0"/>
          <w:marRight w:val="0"/>
          <w:marTop w:val="0"/>
          <w:marBottom w:val="0"/>
          <w:divBdr>
            <w:top w:val="none" w:sz="0" w:space="0" w:color="auto"/>
            <w:left w:val="none" w:sz="0" w:space="0" w:color="auto"/>
            <w:bottom w:val="none" w:sz="0" w:space="0" w:color="auto"/>
            <w:right w:val="none" w:sz="0" w:space="0" w:color="auto"/>
          </w:divBdr>
          <w:divsChild>
            <w:div w:id="11037956">
              <w:marLeft w:val="0"/>
              <w:marRight w:val="0"/>
              <w:marTop w:val="0"/>
              <w:marBottom w:val="0"/>
              <w:divBdr>
                <w:top w:val="none" w:sz="0" w:space="0" w:color="auto"/>
                <w:left w:val="none" w:sz="0" w:space="0" w:color="auto"/>
                <w:bottom w:val="none" w:sz="0" w:space="0" w:color="auto"/>
                <w:right w:val="none" w:sz="0" w:space="0" w:color="auto"/>
              </w:divBdr>
            </w:div>
          </w:divsChild>
        </w:div>
        <w:div w:id="1091392975">
          <w:marLeft w:val="0"/>
          <w:marRight w:val="0"/>
          <w:marTop w:val="0"/>
          <w:marBottom w:val="0"/>
          <w:divBdr>
            <w:top w:val="none" w:sz="0" w:space="0" w:color="auto"/>
            <w:left w:val="none" w:sz="0" w:space="0" w:color="auto"/>
            <w:bottom w:val="none" w:sz="0" w:space="0" w:color="auto"/>
            <w:right w:val="none" w:sz="0" w:space="0" w:color="auto"/>
          </w:divBdr>
          <w:divsChild>
            <w:div w:id="1462310248">
              <w:marLeft w:val="0"/>
              <w:marRight w:val="0"/>
              <w:marTop w:val="0"/>
              <w:marBottom w:val="0"/>
              <w:divBdr>
                <w:top w:val="none" w:sz="0" w:space="0" w:color="auto"/>
                <w:left w:val="none" w:sz="0" w:space="0" w:color="auto"/>
                <w:bottom w:val="none" w:sz="0" w:space="0" w:color="auto"/>
                <w:right w:val="none" w:sz="0" w:space="0" w:color="auto"/>
              </w:divBdr>
            </w:div>
          </w:divsChild>
        </w:div>
        <w:div w:id="384569081">
          <w:marLeft w:val="0"/>
          <w:marRight w:val="0"/>
          <w:marTop w:val="0"/>
          <w:marBottom w:val="0"/>
          <w:divBdr>
            <w:top w:val="none" w:sz="0" w:space="0" w:color="auto"/>
            <w:left w:val="none" w:sz="0" w:space="0" w:color="auto"/>
            <w:bottom w:val="none" w:sz="0" w:space="0" w:color="auto"/>
            <w:right w:val="none" w:sz="0" w:space="0" w:color="auto"/>
          </w:divBdr>
          <w:divsChild>
            <w:div w:id="83981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824832">
      <w:bodyDiv w:val="1"/>
      <w:marLeft w:val="0"/>
      <w:marRight w:val="0"/>
      <w:marTop w:val="0"/>
      <w:marBottom w:val="0"/>
      <w:divBdr>
        <w:top w:val="none" w:sz="0" w:space="0" w:color="auto"/>
        <w:left w:val="none" w:sz="0" w:space="0" w:color="auto"/>
        <w:bottom w:val="none" w:sz="0" w:space="0" w:color="auto"/>
        <w:right w:val="none" w:sz="0" w:space="0" w:color="auto"/>
      </w:divBdr>
      <w:divsChild>
        <w:div w:id="1492942301">
          <w:marLeft w:val="0"/>
          <w:marRight w:val="0"/>
          <w:marTop w:val="0"/>
          <w:marBottom w:val="0"/>
          <w:divBdr>
            <w:top w:val="none" w:sz="0" w:space="0" w:color="auto"/>
            <w:left w:val="none" w:sz="0" w:space="0" w:color="auto"/>
            <w:bottom w:val="none" w:sz="0" w:space="0" w:color="auto"/>
            <w:right w:val="none" w:sz="0" w:space="0" w:color="auto"/>
          </w:divBdr>
          <w:divsChild>
            <w:div w:id="1539271593">
              <w:marLeft w:val="0"/>
              <w:marRight w:val="0"/>
              <w:marTop w:val="0"/>
              <w:marBottom w:val="0"/>
              <w:divBdr>
                <w:top w:val="none" w:sz="0" w:space="0" w:color="auto"/>
                <w:left w:val="none" w:sz="0" w:space="0" w:color="auto"/>
                <w:bottom w:val="none" w:sz="0" w:space="0" w:color="auto"/>
                <w:right w:val="none" w:sz="0" w:space="0" w:color="auto"/>
              </w:divBdr>
              <w:divsChild>
                <w:div w:id="1498184960">
                  <w:marLeft w:val="0"/>
                  <w:marRight w:val="0"/>
                  <w:marTop w:val="0"/>
                  <w:marBottom w:val="0"/>
                  <w:divBdr>
                    <w:top w:val="none" w:sz="0" w:space="0" w:color="auto"/>
                    <w:left w:val="none" w:sz="0" w:space="0" w:color="auto"/>
                    <w:bottom w:val="none" w:sz="0" w:space="0" w:color="auto"/>
                    <w:right w:val="none" w:sz="0" w:space="0" w:color="auto"/>
                  </w:divBdr>
                  <w:divsChild>
                    <w:div w:id="1927181663">
                      <w:marLeft w:val="0"/>
                      <w:marRight w:val="0"/>
                      <w:marTop w:val="0"/>
                      <w:marBottom w:val="0"/>
                      <w:divBdr>
                        <w:top w:val="none" w:sz="0" w:space="0" w:color="auto"/>
                        <w:left w:val="none" w:sz="0" w:space="0" w:color="auto"/>
                        <w:bottom w:val="none" w:sz="0" w:space="0" w:color="auto"/>
                        <w:right w:val="none" w:sz="0" w:space="0" w:color="auto"/>
                      </w:divBdr>
                    </w:div>
                  </w:divsChild>
                </w:div>
                <w:div w:id="308098032">
                  <w:marLeft w:val="0"/>
                  <w:marRight w:val="0"/>
                  <w:marTop w:val="0"/>
                  <w:marBottom w:val="0"/>
                  <w:divBdr>
                    <w:top w:val="none" w:sz="0" w:space="0" w:color="auto"/>
                    <w:left w:val="none" w:sz="0" w:space="0" w:color="auto"/>
                    <w:bottom w:val="none" w:sz="0" w:space="0" w:color="auto"/>
                    <w:right w:val="none" w:sz="0" w:space="0" w:color="auto"/>
                  </w:divBdr>
                  <w:divsChild>
                    <w:div w:id="537477352">
                      <w:marLeft w:val="0"/>
                      <w:marRight w:val="0"/>
                      <w:marTop w:val="0"/>
                      <w:marBottom w:val="0"/>
                      <w:divBdr>
                        <w:top w:val="none" w:sz="0" w:space="0" w:color="auto"/>
                        <w:left w:val="none" w:sz="0" w:space="0" w:color="auto"/>
                        <w:bottom w:val="none" w:sz="0" w:space="0" w:color="auto"/>
                        <w:right w:val="none" w:sz="0" w:space="0" w:color="auto"/>
                      </w:divBdr>
                    </w:div>
                  </w:divsChild>
                </w:div>
                <w:div w:id="1394157373">
                  <w:marLeft w:val="0"/>
                  <w:marRight w:val="0"/>
                  <w:marTop w:val="0"/>
                  <w:marBottom w:val="0"/>
                  <w:divBdr>
                    <w:top w:val="none" w:sz="0" w:space="0" w:color="auto"/>
                    <w:left w:val="none" w:sz="0" w:space="0" w:color="auto"/>
                    <w:bottom w:val="none" w:sz="0" w:space="0" w:color="auto"/>
                    <w:right w:val="none" w:sz="0" w:space="0" w:color="auto"/>
                  </w:divBdr>
                  <w:divsChild>
                    <w:div w:id="660962345">
                      <w:marLeft w:val="0"/>
                      <w:marRight w:val="0"/>
                      <w:marTop w:val="0"/>
                      <w:marBottom w:val="0"/>
                      <w:divBdr>
                        <w:top w:val="none" w:sz="0" w:space="0" w:color="auto"/>
                        <w:left w:val="none" w:sz="0" w:space="0" w:color="auto"/>
                        <w:bottom w:val="none" w:sz="0" w:space="0" w:color="auto"/>
                        <w:right w:val="none" w:sz="0" w:space="0" w:color="auto"/>
                      </w:divBdr>
                    </w:div>
                  </w:divsChild>
                </w:div>
                <w:div w:id="2010523109">
                  <w:marLeft w:val="0"/>
                  <w:marRight w:val="0"/>
                  <w:marTop w:val="0"/>
                  <w:marBottom w:val="0"/>
                  <w:divBdr>
                    <w:top w:val="none" w:sz="0" w:space="0" w:color="auto"/>
                    <w:left w:val="none" w:sz="0" w:space="0" w:color="auto"/>
                    <w:bottom w:val="none" w:sz="0" w:space="0" w:color="auto"/>
                    <w:right w:val="none" w:sz="0" w:space="0" w:color="auto"/>
                  </w:divBdr>
                  <w:divsChild>
                    <w:div w:id="499855266">
                      <w:marLeft w:val="0"/>
                      <w:marRight w:val="0"/>
                      <w:marTop w:val="0"/>
                      <w:marBottom w:val="0"/>
                      <w:divBdr>
                        <w:top w:val="none" w:sz="0" w:space="0" w:color="auto"/>
                        <w:left w:val="none" w:sz="0" w:space="0" w:color="auto"/>
                        <w:bottom w:val="none" w:sz="0" w:space="0" w:color="auto"/>
                        <w:right w:val="none" w:sz="0" w:space="0" w:color="auto"/>
                      </w:divBdr>
                    </w:div>
                  </w:divsChild>
                </w:div>
                <w:div w:id="330526999">
                  <w:marLeft w:val="0"/>
                  <w:marRight w:val="0"/>
                  <w:marTop w:val="0"/>
                  <w:marBottom w:val="0"/>
                  <w:divBdr>
                    <w:top w:val="none" w:sz="0" w:space="0" w:color="auto"/>
                    <w:left w:val="none" w:sz="0" w:space="0" w:color="auto"/>
                    <w:bottom w:val="none" w:sz="0" w:space="0" w:color="auto"/>
                    <w:right w:val="none" w:sz="0" w:space="0" w:color="auto"/>
                  </w:divBdr>
                  <w:divsChild>
                    <w:div w:id="1440493331">
                      <w:marLeft w:val="0"/>
                      <w:marRight w:val="0"/>
                      <w:marTop w:val="0"/>
                      <w:marBottom w:val="0"/>
                      <w:divBdr>
                        <w:top w:val="none" w:sz="0" w:space="0" w:color="auto"/>
                        <w:left w:val="none" w:sz="0" w:space="0" w:color="auto"/>
                        <w:bottom w:val="none" w:sz="0" w:space="0" w:color="auto"/>
                        <w:right w:val="none" w:sz="0" w:space="0" w:color="auto"/>
                      </w:divBdr>
                    </w:div>
                  </w:divsChild>
                </w:div>
                <w:div w:id="2130316015">
                  <w:marLeft w:val="0"/>
                  <w:marRight w:val="0"/>
                  <w:marTop w:val="0"/>
                  <w:marBottom w:val="0"/>
                  <w:divBdr>
                    <w:top w:val="none" w:sz="0" w:space="0" w:color="auto"/>
                    <w:left w:val="none" w:sz="0" w:space="0" w:color="auto"/>
                    <w:bottom w:val="none" w:sz="0" w:space="0" w:color="auto"/>
                    <w:right w:val="none" w:sz="0" w:space="0" w:color="auto"/>
                  </w:divBdr>
                  <w:divsChild>
                    <w:div w:id="403378200">
                      <w:marLeft w:val="0"/>
                      <w:marRight w:val="0"/>
                      <w:marTop w:val="0"/>
                      <w:marBottom w:val="0"/>
                      <w:divBdr>
                        <w:top w:val="none" w:sz="0" w:space="0" w:color="auto"/>
                        <w:left w:val="none" w:sz="0" w:space="0" w:color="auto"/>
                        <w:bottom w:val="none" w:sz="0" w:space="0" w:color="auto"/>
                        <w:right w:val="none" w:sz="0" w:space="0" w:color="auto"/>
                      </w:divBdr>
                    </w:div>
                  </w:divsChild>
                </w:div>
                <w:div w:id="649211675">
                  <w:marLeft w:val="0"/>
                  <w:marRight w:val="0"/>
                  <w:marTop w:val="0"/>
                  <w:marBottom w:val="0"/>
                  <w:divBdr>
                    <w:top w:val="none" w:sz="0" w:space="0" w:color="auto"/>
                    <w:left w:val="none" w:sz="0" w:space="0" w:color="auto"/>
                    <w:bottom w:val="none" w:sz="0" w:space="0" w:color="auto"/>
                    <w:right w:val="none" w:sz="0" w:space="0" w:color="auto"/>
                  </w:divBdr>
                  <w:divsChild>
                    <w:div w:id="1273051304">
                      <w:marLeft w:val="0"/>
                      <w:marRight w:val="0"/>
                      <w:marTop w:val="0"/>
                      <w:marBottom w:val="0"/>
                      <w:divBdr>
                        <w:top w:val="none" w:sz="0" w:space="0" w:color="auto"/>
                        <w:left w:val="none" w:sz="0" w:space="0" w:color="auto"/>
                        <w:bottom w:val="none" w:sz="0" w:space="0" w:color="auto"/>
                        <w:right w:val="none" w:sz="0" w:space="0" w:color="auto"/>
                      </w:divBdr>
                    </w:div>
                  </w:divsChild>
                </w:div>
                <w:div w:id="2130969107">
                  <w:marLeft w:val="0"/>
                  <w:marRight w:val="0"/>
                  <w:marTop w:val="0"/>
                  <w:marBottom w:val="0"/>
                  <w:divBdr>
                    <w:top w:val="none" w:sz="0" w:space="0" w:color="auto"/>
                    <w:left w:val="none" w:sz="0" w:space="0" w:color="auto"/>
                    <w:bottom w:val="none" w:sz="0" w:space="0" w:color="auto"/>
                    <w:right w:val="none" w:sz="0" w:space="0" w:color="auto"/>
                  </w:divBdr>
                  <w:divsChild>
                    <w:div w:id="1224222456">
                      <w:marLeft w:val="0"/>
                      <w:marRight w:val="0"/>
                      <w:marTop w:val="0"/>
                      <w:marBottom w:val="0"/>
                      <w:divBdr>
                        <w:top w:val="none" w:sz="0" w:space="0" w:color="auto"/>
                        <w:left w:val="none" w:sz="0" w:space="0" w:color="auto"/>
                        <w:bottom w:val="none" w:sz="0" w:space="0" w:color="auto"/>
                        <w:right w:val="none" w:sz="0" w:space="0" w:color="auto"/>
                      </w:divBdr>
                    </w:div>
                  </w:divsChild>
                </w:div>
                <w:div w:id="1922137951">
                  <w:marLeft w:val="0"/>
                  <w:marRight w:val="0"/>
                  <w:marTop w:val="0"/>
                  <w:marBottom w:val="0"/>
                  <w:divBdr>
                    <w:top w:val="none" w:sz="0" w:space="0" w:color="auto"/>
                    <w:left w:val="none" w:sz="0" w:space="0" w:color="auto"/>
                    <w:bottom w:val="none" w:sz="0" w:space="0" w:color="auto"/>
                    <w:right w:val="none" w:sz="0" w:space="0" w:color="auto"/>
                  </w:divBdr>
                  <w:divsChild>
                    <w:div w:id="459421873">
                      <w:marLeft w:val="0"/>
                      <w:marRight w:val="0"/>
                      <w:marTop w:val="0"/>
                      <w:marBottom w:val="0"/>
                      <w:divBdr>
                        <w:top w:val="none" w:sz="0" w:space="0" w:color="auto"/>
                        <w:left w:val="none" w:sz="0" w:space="0" w:color="auto"/>
                        <w:bottom w:val="none" w:sz="0" w:space="0" w:color="auto"/>
                        <w:right w:val="none" w:sz="0" w:space="0" w:color="auto"/>
                      </w:divBdr>
                    </w:div>
                  </w:divsChild>
                </w:div>
                <w:div w:id="627052109">
                  <w:marLeft w:val="0"/>
                  <w:marRight w:val="0"/>
                  <w:marTop w:val="0"/>
                  <w:marBottom w:val="0"/>
                  <w:divBdr>
                    <w:top w:val="none" w:sz="0" w:space="0" w:color="auto"/>
                    <w:left w:val="none" w:sz="0" w:space="0" w:color="auto"/>
                    <w:bottom w:val="none" w:sz="0" w:space="0" w:color="auto"/>
                    <w:right w:val="none" w:sz="0" w:space="0" w:color="auto"/>
                  </w:divBdr>
                  <w:divsChild>
                    <w:div w:id="144130510">
                      <w:marLeft w:val="0"/>
                      <w:marRight w:val="0"/>
                      <w:marTop w:val="0"/>
                      <w:marBottom w:val="0"/>
                      <w:divBdr>
                        <w:top w:val="none" w:sz="0" w:space="0" w:color="auto"/>
                        <w:left w:val="none" w:sz="0" w:space="0" w:color="auto"/>
                        <w:bottom w:val="none" w:sz="0" w:space="0" w:color="auto"/>
                        <w:right w:val="none" w:sz="0" w:space="0" w:color="auto"/>
                      </w:divBdr>
                    </w:div>
                  </w:divsChild>
                </w:div>
                <w:div w:id="1769961317">
                  <w:marLeft w:val="0"/>
                  <w:marRight w:val="0"/>
                  <w:marTop w:val="0"/>
                  <w:marBottom w:val="0"/>
                  <w:divBdr>
                    <w:top w:val="none" w:sz="0" w:space="0" w:color="auto"/>
                    <w:left w:val="none" w:sz="0" w:space="0" w:color="auto"/>
                    <w:bottom w:val="none" w:sz="0" w:space="0" w:color="auto"/>
                    <w:right w:val="none" w:sz="0" w:space="0" w:color="auto"/>
                  </w:divBdr>
                  <w:divsChild>
                    <w:div w:id="379285605">
                      <w:marLeft w:val="0"/>
                      <w:marRight w:val="0"/>
                      <w:marTop w:val="0"/>
                      <w:marBottom w:val="0"/>
                      <w:divBdr>
                        <w:top w:val="none" w:sz="0" w:space="0" w:color="auto"/>
                        <w:left w:val="none" w:sz="0" w:space="0" w:color="auto"/>
                        <w:bottom w:val="none" w:sz="0" w:space="0" w:color="auto"/>
                        <w:right w:val="none" w:sz="0" w:space="0" w:color="auto"/>
                      </w:divBdr>
                    </w:div>
                  </w:divsChild>
                </w:div>
                <w:div w:id="437137239">
                  <w:marLeft w:val="0"/>
                  <w:marRight w:val="0"/>
                  <w:marTop w:val="0"/>
                  <w:marBottom w:val="0"/>
                  <w:divBdr>
                    <w:top w:val="none" w:sz="0" w:space="0" w:color="auto"/>
                    <w:left w:val="none" w:sz="0" w:space="0" w:color="auto"/>
                    <w:bottom w:val="none" w:sz="0" w:space="0" w:color="auto"/>
                    <w:right w:val="none" w:sz="0" w:space="0" w:color="auto"/>
                  </w:divBdr>
                  <w:divsChild>
                    <w:div w:id="1822503446">
                      <w:marLeft w:val="0"/>
                      <w:marRight w:val="0"/>
                      <w:marTop w:val="0"/>
                      <w:marBottom w:val="0"/>
                      <w:divBdr>
                        <w:top w:val="none" w:sz="0" w:space="0" w:color="auto"/>
                        <w:left w:val="none" w:sz="0" w:space="0" w:color="auto"/>
                        <w:bottom w:val="none" w:sz="0" w:space="0" w:color="auto"/>
                        <w:right w:val="none" w:sz="0" w:space="0" w:color="auto"/>
                      </w:divBdr>
                    </w:div>
                  </w:divsChild>
                </w:div>
                <w:div w:id="129373310">
                  <w:marLeft w:val="0"/>
                  <w:marRight w:val="0"/>
                  <w:marTop w:val="0"/>
                  <w:marBottom w:val="0"/>
                  <w:divBdr>
                    <w:top w:val="none" w:sz="0" w:space="0" w:color="auto"/>
                    <w:left w:val="none" w:sz="0" w:space="0" w:color="auto"/>
                    <w:bottom w:val="none" w:sz="0" w:space="0" w:color="auto"/>
                    <w:right w:val="none" w:sz="0" w:space="0" w:color="auto"/>
                  </w:divBdr>
                  <w:divsChild>
                    <w:div w:id="1128931230">
                      <w:marLeft w:val="0"/>
                      <w:marRight w:val="0"/>
                      <w:marTop w:val="0"/>
                      <w:marBottom w:val="0"/>
                      <w:divBdr>
                        <w:top w:val="none" w:sz="0" w:space="0" w:color="auto"/>
                        <w:left w:val="none" w:sz="0" w:space="0" w:color="auto"/>
                        <w:bottom w:val="none" w:sz="0" w:space="0" w:color="auto"/>
                        <w:right w:val="none" w:sz="0" w:space="0" w:color="auto"/>
                      </w:divBdr>
                    </w:div>
                  </w:divsChild>
                </w:div>
                <w:div w:id="1991253646">
                  <w:marLeft w:val="0"/>
                  <w:marRight w:val="0"/>
                  <w:marTop w:val="0"/>
                  <w:marBottom w:val="0"/>
                  <w:divBdr>
                    <w:top w:val="none" w:sz="0" w:space="0" w:color="auto"/>
                    <w:left w:val="none" w:sz="0" w:space="0" w:color="auto"/>
                    <w:bottom w:val="none" w:sz="0" w:space="0" w:color="auto"/>
                    <w:right w:val="none" w:sz="0" w:space="0" w:color="auto"/>
                  </w:divBdr>
                  <w:divsChild>
                    <w:div w:id="1696805110">
                      <w:marLeft w:val="0"/>
                      <w:marRight w:val="0"/>
                      <w:marTop w:val="0"/>
                      <w:marBottom w:val="0"/>
                      <w:divBdr>
                        <w:top w:val="none" w:sz="0" w:space="0" w:color="auto"/>
                        <w:left w:val="none" w:sz="0" w:space="0" w:color="auto"/>
                        <w:bottom w:val="none" w:sz="0" w:space="0" w:color="auto"/>
                        <w:right w:val="none" w:sz="0" w:space="0" w:color="auto"/>
                      </w:divBdr>
                    </w:div>
                  </w:divsChild>
                </w:div>
                <w:div w:id="1644966610">
                  <w:marLeft w:val="0"/>
                  <w:marRight w:val="0"/>
                  <w:marTop w:val="0"/>
                  <w:marBottom w:val="0"/>
                  <w:divBdr>
                    <w:top w:val="none" w:sz="0" w:space="0" w:color="auto"/>
                    <w:left w:val="none" w:sz="0" w:space="0" w:color="auto"/>
                    <w:bottom w:val="none" w:sz="0" w:space="0" w:color="auto"/>
                    <w:right w:val="none" w:sz="0" w:space="0" w:color="auto"/>
                  </w:divBdr>
                  <w:divsChild>
                    <w:div w:id="1444567419">
                      <w:marLeft w:val="0"/>
                      <w:marRight w:val="0"/>
                      <w:marTop w:val="0"/>
                      <w:marBottom w:val="0"/>
                      <w:divBdr>
                        <w:top w:val="none" w:sz="0" w:space="0" w:color="auto"/>
                        <w:left w:val="none" w:sz="0" w:space="0" w:color="auto"/>
                        <w:bottom w:val="none" w:sz="0" w:space="0" w:color="auto"/>
                        <w:right w:val="none" w:sz="0" w:space="0" w:color="auto"/>
                      </w:divBdr>
                    </w:div>
                  </w:divsChild>
                </w:div>
                <w:div w:id="2033874985">
                  <w:marLeft w:val="0"/>
                  <w:marRight w:val="0"/>
                  <w:marTop w:val="0"/>
                  <w:marBottom w:val="0"/>
                  <w:divBdr>
                    <w:top w:val="none" w:sz="0" w:space="0" w:color="auto"/>
                    <w:left w:val="none" w:sz="0" w:space="0" w:color="auto"/>
                    <w:bottom w:val="none" w:sz="0" w:space="0" w:color="auto"/>
                    <w:right w:val="none" w:sz="0" w:space="0" w:color="auto"/>
                  </w:divBdr>
                  <w:divsChild>
                    <w:div w:id="2092390529">
                      <w:marLeft w:val="0"/>
                      <w:marRight w:val="0"/>
                      <w:marTop w:val="0"/>
                      <w:marBottom w:val="0"/>
                      <w:divBdr>
                        <w:top w:val="none" w:sz="0" w:space="0" w:color="auto"/>
                        <w:left w:val="none" w:sz="0" w:space="0" w:color="auto"/>
                        <w:bottom w:val="none" w:sz="0" w:space="0" w:color="auto"/>
                        <w:right w:val="none" w:sz="0" w:space="0" w:color="auto"/>
                      </w:divBdr>
                    </w:div>
                  </w:divsChild>
                </w:div>
                <w:div w:id="1144197434">
                  <w:marLeft w:val="0"/>
                  <w:marRight w:val="0"/>
                  <w:marTop w:val="0"/>
                  <w:marBottom w:val="0"/>
                  <w:divBdr>
                    <w:top w:val="none" w:sz="0" w:space="0" w:color="auto"/>
                    <w:left w:val="none" w:sz="0" w:space="0" w:color="auto"/>
                    <w:bottom w:val="none" w:sz="0" w:space="0" w:color="auto"/>
                    <w:right w:val="none" w:sz="0" w:space="0" w:color="auto"/>
                  </w:divBdr>
                  <w:divsChild>
                    <w:div w:id="67920017">
                      <w:marLeft w:val="0"/>
                      <w:marRight w:val="0"/>
                      <w:marTop w:val="0"/>
                      <w:marBottom w:val="0"/>
                      <w:divBdr>
                        <w:top w:val="none" w:sz="0" w:space="0" w:color="auto"/>
                        <w:left w:val="none" w:sz="0" w:space="0" w:color="auto"/>
                        <w:bottom w:val="none" w:sz="0" w:space="0" w:color="auto"/>
                        <w:right w:val="none" w:sz="0" w:space="0" w:color="auto"/>
                      </w:divBdr>
                    </w:div>
                  </w:divsChild>
                </w:div>
                <w:div w:id="1667438448">
                  <w:marLeft w:val="0"/>
                  <w:marRight w:val="0"/>
                  <w:marTop w:val="0"/>
                  <w:marBottom w:val="0"/>
                  <w:divBdr>
                    <w:top w:val="none" w:sz="0" w:space="0" w:color="auto"/>
                    <w:left w:val="none" w:sz="0" w:space="0" w:color="auto"/>
                    <w:bottom w:val="none" w:sz="0" w:space="0" w:color="auto"/>
                    <w:right w:val="none" w:sz="0" w:space="0" w:color="auto"/>
                  </w:divBdr>
                  <w:divsChild>
                    <w:div w:id="516115237">
                      <w:marLeft w:val="0"/>
                      <w:marRight w:val="0"/>
                      <w:marTop w:val="0"/>
                      <w:marBottom w:val="0"/>
                      <w:divBdr>
                        <w:top w:val="none" w:sz="0" w:space="0" w:color="auto"/>
                        <w:left w:val="none" w:sz="0" w:space="0" w:color="auto"/>
                        <w:bottom w:val="none" w:sz="0" w:space="0" w:color="auto"/>
                        <w:right w:val="none" w:sz="0" w:space="0" w:color="auto"/>
                      </w:divBdr>
                    </w:div>
                  </w:divsChild>
                </w:div>
                <w:div w:id="153452191">
                  <w:marLeft w:val="0"/>
                  <w:marRight w:val="0"/>
                  <w:marTop w:val="0"/>
                  <w:marBottom w:val="0"/>
                  <w:divBdr>
                    <w:top w:val="none" w:sz="0" w:space="0" w:color="auto"/>
                    <w:left w:val="none" w:sz="0" w:space="0" w:color="auto"/>
                    <w:bottom w:val="none" w:sz="0" w:space="0" w:color="auto"/>
                    <w:right w:val="none" w:sz="0" w:space="0" w:color="auto"/>
                  </w:divBdr>
                  <w:divsChild>
                    <w:div w:id="202596576">
                      <w:marLeft w:val="0"/>
                      <w:marRight w:val="0"/>
                      <w:marTop w:val="0"/>
                      <w:marBottom w:val="0"/>
                      <w:divBdr>
                        <w:top w:val="none" w:sz="0" w:space="0" w:color="auto"/>
                        <w:left w:val="none" w:sz="0" w:space="0" w:color="auto"/>
                        <w:bottom w:val="none" w:sz="0" w:space="0" w:color="auto"/>
                        <w:right w:val="none" w:sz="0" w:space="0" w:color="auto"/>
                      </w:divBdr>
                    </w:div>
                  </w:divsChild>
                </w:div>
                <w:div w:id="1967664879">
                  <w:marLeft w:val="0"/>
                  <w:marRight w:val="0"/>
                  <w:marTop w:val="0"/>
                  <w:marBottom w:val="0"/>
                  <w:divBdr>
                    <w:top w:val="none" w:sz="0" w:space="0" w:color="auto"/>
                    <w:left w:val="none" w:sz="0" w:space="0" w:color="auto"/>
                    <w:bottom w:val="none" w:sz="0" w:space="0" w:color="auto"/>
                    <w:right w:val="none" w:sz="0" w:space="0" w:color="auto"/>
                  </w:divBdr>
                  <w:divsChild>
                    <w:div w:id="558902982">
                      <w:marLeft w:val="0"/>
                      <w:marRight w:val="0"/>
                      <w:marTop w:val="0"/>
                      <w:marBottom w:val="0"/>
                      <w:divBdr>
                        <w:top w:val="none" w:sz="0" w:space="0" w:color="auto"/>
                        <w:left w:val="none" w:sz="0" w:space="0" w:color="auto"/>
                        <w:bottom w:val="none" w:sz="0" w:space="0" w:color="auto"/>
                        <w:right w:val="none" w:sz="0" w:space="0" w:color="auto"/>
                      </w:divBdr>
                    </w:div>
                  </w:divsChild>
                </w:div>
                <w:div w:id="1047027934">
                  <w:marLeft w:val="0"/>
                  <w:marRight w:val="0"/>
                  <w:marTop w:val="0"/>
                  <w:marBottom w:val="0"/>
                  <w:divBdr>
                    <w:top w:val="none" w:sz="0" w:space="0" w:color="auto"/>
                    <w:left w:val="none" w:sz="0" w:space="0" w:color="auto"/>
                    <w:bottom w:val="none" w:sz="0" w:space="0" w:color="auto"/>
                    <w:right w:val="none" w:sz="0" w:space="0" w:color="auto"/>
                  </w:divBdr>
                  <w:divsChild>
                    <w:div w:id="1996449117">
                      <w:marLeft w:val="0"/>
                      <w:marRight w:val="0"/>
                      <w:marTop w:val="0"/>
                      <w:marBottom w:val="0"/>
                      <w:divBdr>
                        <w:top w:val="none" w:sz="0" w:space="0" w:color="auto"/>
                        <w:left w:val="none" w:sz="0" w:space="0" w:color="auto"/>
                        <w:bottom w:val="none" w:sz="0" w:space="0" w:color="auto"/>
                        <w:right w:val="none" w:sz="0" w:space="0" w:color="auto"/>
                      </w:divBdr>
                    </w:div>
                  </w:divsChild>
                </w:div>
                <w:div w:id="506097699">
                  <w:marLeft w:val="0"/>
                  <w:marRight w:val="0"/>
                  <w:marTop w:val="0"/>
                  <w:marBottom w:val="0"/>
                  <w:divBdr>
                    <w:top w:val="none" w:sz="0" w:space="0" w:color="auto"/>
                    <w:left w:val="none" w:sz="0" w:space="0" w:color="auto"/>
                    <w:bottom w:val="none" w:sz="0" w:space="0" w:color="auto"/>
                    <w:right w:val="none" w:sz="0" w:space="0" w:color="auto"/>
                  </w:divBdr>
                  <w:divsChild>
                    <w:div w:id="120926048">
                      <w:marLeft w:val="0"/>
                      <w:marRight w:val="0"/>
                      <w:marTop w:val="0"/>
                      <w:marBottom w:val="0"/>
                      <w:divBdr>
                        <w:top w:val="none" w:sz="0" w:space="0" w:color="auto"/>
                        <w:left w:val="none" w:sz="0" w:space="0" w:color="auto"/>
                        <w:bottom w:val="none" w:sz="0" w:space="0" w:color="auto"/>
                        <w:right w:val="none" w:sz="0" w:space="0" w:color="auto"/>
                      </w:divBdr>
                    </w:div>
                  </w:divsChild>
                </w:div>
                <w:div w:id="388384997">
                  <w:marLeft w:val="0"/>
                  <w:marRight w:val="0"/>
                  <w:marTop w:val="0"/>
                  <w:marBottom w:val="0"/>
                  <w:divBdr>
                    <w:top w:val="none" w:sz="0" w:space="0" w:color="auto"/>
                    <w:left w:val="none" w:sz="0" w:space="0" w:color="auto"/>
                    <w:bottom w:val="none" w:sz="0" w:space="0" w:color="auto"/>
                    <w:right w:val="none" w:sz="0" w:space="0" w:color="auto"/>
                  </w:divBdr>
                  <w:divsChild>
                    <w:div w:id="465390361">
                      <w:marLeft w:val="0"/>
                      <w:marRight w:val="0"/>
                      <w:marTop w:val="0"/>
                      <w:marBottom w:val="0"/>
                      <w:divBdr>
                        <w:top w:val="none" w:sz="0" w:space="0" w:color="auto"/>
                        <w:left w:val="none" w:sz="0" w:space="0" w:color="auto"/>
                        <w:bottom w:val="none" w:sz="0" w:space="0" w:color="auto"/>
                        <w:right w:val="none" w:sz="0" w:space="0" w:color="auto"/>
                      </w:divBdr>
                    </w:div>
                  </w:divsChild>
                </w:div>
                <w:div w:id="810635754">
                  <w:marLeft w:val="0"/>
                  <w:marRight w:val="0"/>
                  <w:marTop w:val="0"/>
                  <w:marBottom w:val="0"/>
                  <w:divBdr>
                    <w:top w:val="none" w:sz="0" w:space="0" w:color="auto"/>
                    <w:left w:val="none" w:sz="0" w:space="0" w:color="auto"/>
                    <w:bottom w:val="none" w:sz="0" w:space="0" w:color="auto"/>
                    <w:right w:val="none" w:sz="0" w:space="0" w:color="auto"/>
                  </w:divBdr>
                  <w:divsChild>
                    <w:div w:id="931477686">
                      <w:marLeft w:val="0"/>
                      <w:marRight w:val="0"/>
                      <w:marTop w:val="0"/>
                      <w:marBottom w:val="0"/>
                      <w:divBdr>
                        <w:top w:val="none" w:sz="0" w:space="0" w:color="auto"/>
                        <w:left w:val="none" w:sz="0" w:space="0" w:color="auto"/>
                        <w:bottom w:val="none" w:sz="0" w:space="0" w:color="auto"/>
                        <w:right w:val="none" w:sz="0" w:space="0" w:color="auto"/>
                      </w:divBdr>
                    </w:div>
                  </w:divsChild>
                </w:div>
                <w:div w:id="1630939161">
                  <w:marLeft w:val="0"/>
                  <w:marRight w:val="0"/>
                  <w:marTop w:val="0"/>
                  <w:marBottom w:val="0"/>
                  <w:divBdr>
                    <w:top w:val="none" w:sz="0" w:space="0" w:color="auto"/>
                    <w:left w:val="none" w:sz="0" w:space="0" w:color="auto"/>
                    <w:bottom w:val="none" w:sz="0" w:space="0" w:color="auto"/>
                    <w:right w:val="none" w:sz="0" w:space="0" w:color="auto"/>
                  </w:divBdr>
                  <w:divsChild>
                    <w:div w:id="469830923">
                      <w:marLeft w:val="0"/>
                      <w:marRight w:val="0"/>
                      <w:marTop w:val="0"/>
                      <w:marBottom w:val="0"/>
                      <w:divBdr>
                        <w:top w:val="none" w:sz="0" w:space="0" w:color="auto"/>
                        <w:left w:val="none" w:sz="0" w:space="0" w:color="auto"/>
                        <w:bottom w:val="none" w:sz="0" w:space="0" w:color="auto"/>
                        <w:right w:val="none" w:sz="0" w:space="0" w:color="auto"/>
                      </w:divBdr>
                    </w:div>
                  </w:divsChild>
                </w:div>
                <w:div w:id="604465275">
                  <w:marLeft w:val="0"/>
                  <w:marRight w:val="0"/>
                  <w:marTop w:val="0"/>
                  <w:marBottom w:val="0"/>
                  <w:divBdr>
                    <w:top w:val="none" w:sz="0" w:space="0" w:color="auto"/>
                    <w:left w:val="none" w:sz="0" w:space="0" w:color="auto"/>
                    <w:bottom w:val="none" w:sz="0" w:space="0" w:color="auto"/>
                    <w:right w:val="none" w:sz="0" w:space="0" w:color="auto"/>
                  </w:divBdr>
                  <w:divsChild>
                    <w:div w:id="1144467630">
                      <w:marLeft w:val="0"/>
                      <w:marRight w:val="0"/>
                      <w:marTop w:val="0"/>
                      <w:marBottom w:val="0"/>
                      <w:divBdr>
                        <w:top w:val="none" w:sz="0" w:space="0" w:color="auto"/>
                        <w:left w:val="none" w:sz="0" w:space="0" w:color="auto"/>
                        <w:bottom w:val="none" w:sz="0" w:space="0" w:color="auto"/>
                        <w:right w:val="none" w:sz="0" w:space="0" w:color="auto"/>
                      </w:divBdr>
                    </w:div>
                  </w:divsChild>
                </w:div>
                <w:div w:id="1549340915">
                  <w:marLeft w:val="0"/>
                  <w:marRight w:val="0"/>
                  <w:marTop w:val="0"/>
                  <w:marBottom w:val="0"/>
                  <w:divBdr>
                    <w:top w:val="none" w:sz="0" w:space="0" w:color="auto"/>
                    <w:left w:val="none" w:sz="0" w:space="0" w:color="auto"/>
                    <w:bottom w:val="none" w:sz="0" w:space="0" w:color="auto"/>
                    <w:right w:val="none" w:sz="0" w:space="0" w:color="auto"/>
                  </w:divBdr>
                  <w:divsChild>
                    <w:div w:id="604271283">
                      <w:marLeft w:val="0"/>
                      <w:marRight w:val="0"/>
                      <w:marTop w:val="0"/>
                      <w:marBottom w:val="0"/>
                      <w:divBdr>
                        <w:top w:val="none" w:sz="0" w:space="0" w:color="auto"/>
                        <w:left w:val="none" w:sz="0" w:space="0" w:color="auto"/>
                        <w:bottom w:val="none" w:sz="0" w:space="0" w:color="auto"/>
                        <w:right w:val="none" w:sz="0" w:space="0" w:color="auto"/>
                      </w:divBdr>
                    </w:div>
                  </w:divsChild>
                </w:div>
                <w:div w:id="1795253848">
                  <w:marLeft w:val="0"/>
                  <w:marRight w:val="0"/>
                  <w:marTop w:val="0"/>
                  <w:marBottom w:val="0"/>
                  <w:divBdr>
                    <w:top w:val="none" w:sz="0" w:space="0" w:color="auto"/>
                    <w:left w:val="none" w:sz="0" w:space="0" w:color="auto"/>
                    <w:bottom w:val="none" w:sz="0" w:space="0" w:color="auto"/>
                    <w:right w:val="none" w:sz="0" w:space="0" w:color="auto"/>
                  </w:divBdr>
                  <w:divsChild>
                    <w:div w:id="427240430">
                      <w:marLeft w:val="0"/>
                      <w:marRight w:val="0"/>
                      <w:marTop w:val="0"/>
                      <w:marBottom w:val="0"/>
                      <w:divBdr>
                        <w:top w:val="none" w:sz="0" w:space="0" w:color="auto"/>
                        <w:left w:val="none" w:sz="0" w:space="0" w:color="auto"/>
                        <w:bottom w:val="none" w:sz="0" w:space="0" w:color="auto"/>
                        <w:right w:val="none" w:sz="0" w:space="0" w:color="auto"/>
                      </w:divBdr>
                    </w:div>
                  </w:divsChild>
                </w:div>
                <w:div w:id="263000937">
                  <w:marLeft w:val="0"/>
                  <w:marRight w:val="0"/>
                  <w:marTop w:val="0"/>
                  <w:marBottom w:val="0"/>
                  <w:divBdr>
                    <w:top w:val="none" w:sz="0" w:space="0" w:color="auto"/>
                    <w:left w:val="none" w:sz="0" w:space="0" w:color="auto"/>
                    <w:bottom w:val="none" w:sz="0" w:space="0" w:color="auto"/>
                    <w:right w:val="none" w:sz="0" w:space="0" w:color="auto"/>
                  </w:divBdr>
                  <w:divsChild>
                    <w:div w:id="1310743582">
                      <w:marLeft w:val="0"/>
                      <w:marRight w:val="0"/>
                      <w:marTop w:val="0"/>
                      <w:marBottom w:val="0"/>
                      <w:divBdr>
                        <w:top w:val="none" w:sz="0" w:space="0" w:color="auto"/>
                        <w:left w:val="none" w:sz="0" w:space="0" w:color="auto"/>
                        <w:bottom w:val="none" w:sz="0" w:space="0" w:color="auto"/>
                        <w:right w:val="none" w:sz="0" w:space="0" w:color="auto"/>
                      </w:divBdr>
                    </w:div>
                  </w:divsChild>
                </w:div>
                <w:div w:id="423113881">
                  <w:marLeft w:val="0"/>
                  <w:marRight w:val="0"/>
                  <w:marTop w:val="0"/>
                  <w:marBottom w:val="0"/>
                  <w:divBdr>
                    <w:top w:val="none" w:sz="0" w:space="0" w:color="auto"/>
                    <w:left w:val="none" w:sz="0" w:space="0" w:color="auto"/>
                    <w:bottom w:val="none" w:sz="0" w:space="0" w:color="auto"/>
                    <w:right w:val="none" w:sz="0" w:space="0" w:color="auto"/>
                  </w:divBdr>
                  <w:divsChild>
                    <w:div w:id="1894660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7779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customXml" Target="../customXml/item5.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customXml" Target="../customXml/item3.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ure\OneDrive\CAS_LPE\Base%20empire%20T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1DBD305C83B4EA1A4E64EA082DBA8AC"/>
        <w:category>
          <w:name w:val="Général"/>
          <w:gallery w:val="placeholder"/>
        </w:category>
        <w:types>
          <w:type w:val="bbPlcHdr"/>
        </w:types>
        <w:behaviors>
          <w:behavior w:val="content"/>
        </w:behaviors>
        <w:guid w:val="{2CF40672-AF28-4787-9E45-E1E02FB0B6DE}"/>
      </w:docPartPr>
      <w:docPartBody>
        <w:p w:rsidR="00AA5A7C" w:rsidRDefault="00AA5A7C">
          <w:pPr>
            <w:pStyle w:val="C1DBD305C83B4EA1A4E64EA082DBA8AC"/>
          </w:pPr>
          <w:r>
            <w:rPr>
              <w:color w:val="0F4761" w:themeColor="accent1" w:themeShade="BF"/>
              <w:lang w:val="fr-FR"/>
            </w:rPr>
            <w:t>[Sous-titre du document]</w:t>
          </w:r>
        </w:p>
      </w:docPartBody>
    </w:docPart>
    <w:docPart>
      <w:docPartPr>
        <w:name w:val="D378ED89BA084BBBB46D6322D845C3E3"/>
        <w:category>
          <w:name w:val="Général"/>
          <w:gallery w:val="placeholder"/>
        </w:category>
        <w:types>
          <w:type w:val="bbPlcHdr"/>
        </w:types>
        <w:behaviors>
          <w:behavior w:val="content"/>
        </w:behaviors>
        <w:guid w:val="{F5CC20FC-8F7C-4864-9BB9-677D6F06FAB8}"/>
      </w:docPartPr>
      <w:docPartBody>
        <w:p w:rsidR="00AA5A7C" w:rsidRDefault="00AA5A7C">
          <w:pPr>
            <w:pStyle w:val="D378ED89BA084BBBB46D6322D845C3E3"/>
          </w:pPr>
          <w:r>
            <w:rPr>
              <w:color w:val="156082" w:themeColor="accent1"/>
              <w:sz w:val="28"/>
              <w:szCs w:val="28"/>
              <w:lang w:val="fr-FR"/>
            </w:rPr>
            <w:t>[Nom de l’auteur]</w:t>
          </w:r>
        </w:p>
      </w:docPartBody>
    </w:docPart>
    <w:docPart>
      <w:docPartPr>
        <w:name w:val="140F377AB5A144B2BFC8F302FBB12FB8"/>
        <w:category>
          <w:name w:val="Général"/>
          <w:gallery w:val="placeholder"/>
        </w:category>
        <w:types>
          <w:type w:val="bbPlcHdr"/>
        </w:types>
        <w:behaviors>
          <w:behavior w:val="content"/>
        </w:behaviors>
        <w:guid w:val="{0623F8AF-140D-4217-B42C-8AD19108E59C}"/>
      </w:docPartPr>
      <w:docPartBody>
        <w:p w:rsidR="00AA5A7C" w:rsidRDefault="00AA5A7C">
          <w:pPr>
            <w:pStyle w:val="140F377AB5A144B2BFC8F302FBB12FB8"/>
          </w:pPr>
          <w:r>
            <w:rPr>
              <w:color w:val="156082" w:themeColor="accent1"/>
              <w:sz w:val="28"/>
              <w:szCs w:val="28"/>
              <w:lang w:val="fr-FR"/>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8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A7C"/>
    <w:rsid w:val="009354CB"/>
    <w:rsid w:val="00AA5A7C"/>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CH" w:eastAsia="fr-CH"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C1DBD305C83B4EA1A4E64EA082DBA8AC">
    <w:name w:val="C1DBD305C83B4EA1A4E64EA082DBA8AC"/>
  </w:style>
  <w:style w:type="paragraph" w:customStyle="1" w:styleId="D378ED89BA084BBBB46D6322D845C3E3">
    <w:name w:val="D378ED89BA084BBBB46D6322D845C3E3"/>
  </w:style>
  <w:style w:type="paragraph" w:customStyle="1" w:styleId="140F377AB5A144B2BFC8F302FBB12FB8">
    <w:name w:val="140F377AB5A144B2BFC8F302FBB12F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Facet">
  <a:themeElements>
    <a:clrScheme name="Facet">
      <a:dk1>
        <a:sysClr val="windowText" lastClr="000000"/>
      </a:dk1>
      <a:lt1>
        <a:sysClr val="window" lastClr="FFFFFF"/>
      </a:lt1>
      <a:dk2>
        <a:srgbClr val="2C3C43"/>
      </a:dk2>
      <a:lt2>
        <a:srgbClr val="EBEBEB"/>
      </a:lt2>
      <a:accent1>
        <a:srgbClr val="90C226"/>
      </a:accent1>
      <a:accent2>
        <a:srgbClr val="54A021"/>
      </a:accent2>
      <a:accent3>
        <a:srgbClr val="E6B91E"/>
      </a:accent3>
      <a:accent4>
        <a:srgbClr val="E76618"/>
      </a:accent4>
      <a:accent5>
        <a:srgbClr val="C42F1A"/>
      </a:accent5>
      <a:accent6>
        <a:srgbClr val="918655"/>
      </a:accent6>
      <a:hlink>
        <a:srgbClr val="99CA3C"/>
      </a:hlink>
      <a:folHlink>
        <a:srgbClr val="B9D181"/>
      </a:folHlink>
    </a:clrScheme>
    <a:fontScheme name="Facet">
      <a:majorFont>
        <a:latin typeface="Trebuchet MS" panose="020B0603020202020204"/>
        <a:ea typeface=""/>
        <a:cs typeface=""/>
        <a:font script="Jpan" typeface="メイリオ"/>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panose="020B0603020202020204"/>
        <a:ea typeface=""/>
        <a:cs typeface=""/>
        <a:font script="Jpan" typeface="メイリオ"/>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Facet">
      <a:fillStyleLst>
        <a:solidFill>
          <a:schemeClr val="phClr"/>
        </a:solidFill>
        <a:gradFill rotWithShape="1">
          <a:gsLst>
            <a:gs pos="0">
              <a:schemeClr val="phClr">
                <a:tint val="65000"/>
                <a:lumMod val="110000"/>
              </a:schemeClr>
            </a:gs>
            <a:gs pos="88000">
              <a:schemeClr val="phClr">
                <a:tint val="90000"/>
              </a:schemeClr>
            </a:gs>
          </a:gsLst>
          <a:lin ang="5400000" scaled="0"/>
        </a:gradFill>
        <a:gradFill rotWithShape="1">
          <a:gsLst>
            <a:gs pos="0">
              <a:schemeClr val="phClr">
                <a:tint val="96000"/>
                <a:lumMod val="100000"/>
              </a:schemeClr>
            </a:gs>
            <a:gs pos="78000">
              <a:schemeClr val="phClr">
                <a:shade val="94000"/>
                <a:lumMod val="94000"/>
              </a:schemeClr>
            </a:gs>
          </a:gsLst>
          <a:lin ang="5400000" scaled="0"/>
        </a:gradFill>
      </a:fillStyleLst>
      <a:lnStyleLst>
        <a:ln w="12700" cap="rnd" cmpd="sng" algn="ctr">
          <a:solidFill>
            <a:schemeClr val="phClr"/>
          </a:solidFill>
          <a:prstDash val="solid"/>
        </a:ln>
        <a:ln w="19050"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38100" dist="25400" dir="5400000" rotWithShape="0">
              <a:srgbClr val="000000">
                <a:alpha val="35000"/>
              </a:srgbClr>
            </a:outerShdw>
          </a:effectLst>
        </a:effectStyle>
        <a:effectStyle>
          <a:effectLst>
            <a:outerShdw blurRad="50800" dist="38100" dir="5400000" rotWithShape="0">
              <a:srgbClr val="000000">
                <a:alpha val="35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Facet" id="{C0C680CD-088A-49FC-A102-D699147F32B2}" vid="{CFBC31BA-B70F-4F30-BCAA-4F3011E16C4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2025-05-03T00:00:00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9FA3BBF9F5BB14B8218BE985B7B3A3D" ma:contentTypeVersion="15" ma:contentTypeDescription="Crée un document." ma:contentTypeScope="" ma:versionID="a0eede69cd8cd80a0955c07101999d8e">
  <xsd:schema xmlns:xsd="http://www.w3.org/2001/XMLSchema" xmlns:xs="http://www.w3.org/2001/XMLSchema" xmlns:p="http://schemas.microsoft.com/office/2006/metadata/properties" xmlns:ns2="07104ea7-f245-4466-9c6f-6502bdf82c95" targetNamespace="http://schemas.microsoft.com/office/2006/metadata/properties" ma:root="true" ma:fieldsID="8f54a24f2bc50155ceff6fb6178e3218" ns2:_="">
    <xsd:import namespace="07104ea7-f245-4466-9c6f-6502bdf82c9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Hub" minOccurs="0"/>
                <xsd:element ref="ns2:Niveau" minOccurs="0"/>
                <xsd:element ref="ns2:Th_x00e8_me" minOccurs="0"/>
                <xsd:element ref="ns2:Loi" minOccurs="0"/>
                <xsd:element ref="ns2:Difficult_x00e9_" minOccurs="0"/>
                <xsd:element ref="ns2:TAG" minOccurs="0"/>
                <xsd:element ref="ns2:Type_1" minOccurs="0"/>
                <xsd:element ref="ns2:Public" minOccurs="0"/>
                <xsd:element ref="ns2:Acc_x00e8_s" minOccurs="0"/>
                <xsd:element ref="ns2:Code_x002f_Loi" minOccurs="0"/>
                <xsd:element ref="ns2:Trousse" minOccurs="0"/>
                <xsd:element ref="ns2:Facult_x00e9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04ea7-f245-4466-9c6f-6502bdf82c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Hub" ma:index="11" nillable="true" ma:displayName="Hub" ma:format="Dropdown" ma:internalName="Hub">
      <xsd:simpleType>
        <xsd:union memberTypes="dms:Text">
          <xsd:simpleType>
            <xsd:restriction base="dms:Choice">
              <xsd:enumeration value="HUB-AFA"/>
              <xsd:enumeration value="HUB - APEA"/>
              <xsd:enumeration value="HUB-Assurances sociales"/>
              <xsd:enumeration value="HUB — CAS I"/>
              <xsd:enumeration value="HUB - CONSENTEMENT"/>
              <xsd:enumeration value="HUB — Droit médical"/>
              <xsd:enumeration value="HUB — Droits des patient·e·s"/>
              <xsd:enumeration value="HUB-EMS"/>
              <xsd:enumeration value="HUB-fin de vie"/>
              <xsd:enumeration value="HUB — Jurisprudence"/>
              <xsd:enumeration value="HUB — Méthodo"/>
              <xsd:enumeration value="HUB-PAFA"/>
              <xsd:enumeration value="HUB-PARACHUTE"/>
              <xsd:enumeration value="HUB-PARAMEDICAL"/>
              <xsd:enumeration value="HUB - PMA"/>
              <xsd:enumeration value="HUB-Ressources"/>
              <xsd:enumeration value="HUB-Responsabilité civile"/>
              <xsd:enumeration value="HUB — Secret médical"/>
            </xsd:restriction>
          </xsd:simpleType>
        </xsd:union>
      </xsd:simpleType>
    </xsd:element>
    <xsd:element name="Niveau" ma:index="12" nillable="true" ma:displayName="Niveau" ma:default="Basique" ma:format="Dropdown" ma:internalName="Niveau">
      <xsd:complexType>
        <xsd:complexContent>
          <xsd:extension base="dms:MultiChoice">
            <xsd:sequence>
              <xsd:element name="Value" maxOccurs="unbounded" minOccurs="0" nillable="true">
                <xsd:simpleType>
                  <xsd:restriction base="dms:Choice">
                    <xsd:enumeration value="Basique"/>
                    <xsd:enumeration value="Moyen"/>
                    <xsd:enumeration value="Difficile"/>
                    <xsd:enumeration value="Diabolique"/>
                    <xsd:enumeration value="Méga diabolique"/>
                  </xsd:restriction>
                </xsd:simpleType>
              </xsd:element>
            </xsd:sequence>
          </xsd:extension>
        </xsd:complexContent>
      </xsd:complexType>
    </xsd:element>
    <xsd:element name="Th_x00e8_me" ma:index="13" nillable="true" ma:displayName="Thème" ma:description="Thèmes" ma:format="Dropdown" ma:internalName="Th_x00e8_me">
      <xsd:simpleType>
        <xsd:restriction base="dms:Choice">
          <xsd:enumeration value="Assurances sociales"/>
          <xsd:enumeration value="Civil"/>
          <xsd:enumeration value="Consentement"/>
          <xsd:enumeration value="Constitution &amp; droits fondamentaux"/>
          <xsd:enumeration value="Contrats &amp; obligations"/>
          <xsd:enumeration value="Dossier médical &amp; droit d’accès"/>
          <xsd:enumeration value="Droit médical"/>
          <xsd:enumeration value="Droits des patient·e·s"/>
          <xsd:enumeration value="Droit public"/>
          <xsd:enumeration value="Ethique"/>
          <xsd:enumeration value="Famille &amp; filiation (PMA incluse)"/>
          <xsd:enumeration value="Fin de vie"/>
          <xsd:enumeration value="Français"/>
          <xsd:enumeration value="Institutions &amp; responsabilités pro (délégation, hiérarchie, auxiliaires, plainte/erreur)"/>
          <xsd:enumeration value="Intro"/>
          <xsd:enumeration value="Loi cantonale"/>
          <xsd:enumeration value="Méthodo"/>
          <xsd:enumeration value="Pénal"/>
          <xsd:enumeration value="Preuve &amp; documentation"/>
          <xsd:enumeration value="Procédure civile"/>
          <xsd:enumeration value="Procédure pénale"/>
          <xsd:enumeration value="Protection de l’adulte &amp; de l’enfant (APEA / PAFA)"/>
          <xsd:enumeration value="Responsabilité civile"/>
          <xsd:enumeration value="Responsabilité médicale"/>
          <xsd:enumeration value="Secret médical &amp; données"/>
          <xsd:enumeration value="Suite office"/>
          <xsd:enumeration value="Terminologie juridique"/>
          <xsd:enumeration value="Terminologie médicale"/>
        </xsd:restriction>
      </xsd:simpleType>
    </xsd:element>
    <xsd:element name="Loi" ma:index="14" nillable="true" ma:displayName="Loi" ma:description="Loi ou code concerné" ma:format="Dropdown" ma:internalName="Loi">
      <xsd:simpleType>
        <xsd:union memberTypes="dms:Text">
          <xsd:simpleType>
            <xsd:restriction base="dms:Choice">
              <xsd:enumeration value="CC"/>
              <xsd:enumeration value="CO"/>
              <xsd:enumeration value="CP"/>
              <xsd:enumeration value="CPC"/>
              <xsd:enumeration value="CPP"/>
              <xsd:enumeration value="CST"/>
              <xsd:enumeration value="LPD"/>
              <xsd:enumeration value="LAMal"/>
              <xsd:enumeration value="LAA"/>
              <xsd:enumeration value="AI"/>
              <xsd:enumeration value="LPGA"/>
              <xsd:enumeration value="APG"/>
              <xsd:enumeration value="LCA"/>
              <xsd:enumeration value="OAMal"/>
              <xsd:enumeration value="LHand"/>
            </xsd:restriction>
          </xsd:simpleType>
        </xsd:union>
      </xsd:simpleType>
    </xsd:element>
    <xsd:element name="Difficult_x00e9_" ma:index="15" nillable="true" ma:displayName="Difficulté" ma:description="niveau de difficulté" ma:format="Dropdown" ma:internalName="Difficult_x00e9_">
      <xsd:simpleType>
        <xsd:union memberTypes="dms:Text">
          <xsd:simpleType>
            <xsd:restriction base="dms:Choice">
              <xsd:enumeration value="Standard"/>
              <xsd:enumeration value="Moyen"/>
              <xsd:enumeration value="Difficile"/>
              <xsd:enumeration value="Difficile+"/>
              <xsd:enumeration value="Diabolique"/>
              <xsd:enumeration value="Méga diabolique"/>
            </xsd:restriction>
          </xsd:simpleType>
        </xsd:union>
      </xsd:simpleType>
    </xsd:element>
    <xsd:element name="TAG" ma:index="16" nillable="true" ma:displayName="TAGS" ma:format="Dropdown" ma:internalName="TAG">
      <xsd:simpleType>
        <xsd:restriction base="dms:Choice">
          <xsd:enumeration value="Accès aux soins"/>
          <xsd:enumeration value="Accident"/>
          <xsd:enumeration value="Annexe 1"/>
          <xsd:enumeration value="Assimilées"/>
          <xsd:enumeration value="Bases"/>
          <xsd:enumeration value="Checklist_Trap"/>
          <xsd:enumeration value="Chronologie"/>
          <xsd:enumeration value="Citer"/>
          <xsd:enumeration value="Discrimination"/>
          <xsd:enumeration value="Droits humains"/>
          <xsd:enumeration value="Consentement_Trap"/>
          <xsd:enumeration value="Coordination"/>
          <xsd:enumeration value="Exam_Trap"/>
          <xsd:enumeration value="Exos"/>
          <xsd:enumeration value="Exposition"/>
          <xsd:enumeration value="Faux_ami"/>
          <xsd:enumeration value="Fedlex"/>
          <xsd:enumeration value="FDS"/>
          <xsd:enumeration value="Handicap"/>
          <xsd:enumeration value="Hôpital"/>
          <xsd:enumeration value="Hors liste"/>
          <xsd:enumeration value="Liste"/>
          <xsd:enumeration value="Maladie"/>
          <xsd:enumeration value="Maladie pro"/>
          <xsd:enumeration value="Migration"/>
          <xsd:enumeration value="OLAA"/>
          <xsd:enumeration value="Piège"/>
          <xsd:enumeration value="Preuve_Trap"/>
          <xsd:enumeration value="Procedure_Trap"/>
          <xsd:enumeration value="Provisoire"/>
          <xsd:enumeration value="QCM"/>
          <xsd:enumeration value="Remboursement"/>
          <xsd:enumeration value="Resp_Trap"/>
          <xsd:enumeration value="Santé publique"/>
          <xsd:enumeration value="Tri"/>
          <xsd:enumeration value="Twist"/>
          <xsd:enumeration value="Usure"/>
        </xsd:restriction>
      </xsd:simpleType>
    </xsd:element>
    <xsd:element name="Type_1" ma:index="17" nillable="true" ma:displayName="Types" ma:default="FP" ma:description="types de ressources" ma:format="Dropdown" ma:internalName="Type_1">
      <xsd:simpleType>
        <xsd:restriction base="dms:Choice">
          <xsd:enumeration value="ARB"/>
          <xsd:enumeration value="CAN"/>
          <xsd:enumeration value="CAP"/>
          <xsd:enumeration value="CP"/>
          <xsd:enumeration value="CJX"/>
          <xsd:enumeration value="CM"/>
          <xsd:enumeration value="COR"/>
          <xsd:enumeration value="EXO"/>
          <xsd:enumeration value="FP"/>
          <xsd:enumeration value="FPED"/>
          <xsd:enumeration value="FMET"/>
          <xsd:enumeration value="FREX"/>
          <xsd:enumeration value="FS"/>
          <xsd:enumeration value="GP"/>
          <xsd:enumeration value="HUB"/>
          <xsd:enumeration value="MOD"/>
          <xsd:enumeration value="QCM"/>
          <xsd:enumeration value="SENT"/>
          <xsd:enumeration value="TAB"/>
          <xsd:enumeration value="TROU"/>
        </xsd:restriction>
      </xsd:simpleType>
    </xsd:element>
    <xsd:element name="Public" ma:index="18" nillable="true" ma:displayName="Public" ma:default="TEAM" ma:description="public cible" ma:format="Dropdown" ma:internalName="Public">
      <xsd:simpleType>
        <xsd:restriction base="dms:Choice">
          <xsd:enumeration value="ADM"/>
          <xsd:enumeration value="ETU"/>
          <xsd:enumeration value="JUR"/>
          <xsd:enumeration value="MED"/>
          <xsd:enumeration value="MTECH"/>
          <xsd:enumeration value="MTHER"/>
          <xsd:enumeration value="PARA"/>
          <xsd:enumeration value="TEAM"/>
        </xsd:restriction>
      </xsd:simpleType>
    </xsd:element>
    <xsd:element name="Acc_x00e8_s" ma:index="19" nillable="true" ma:displayName="Accès" ma:default="Public" ma:format="Dropdown" ma:internalName="Acc_x00e8_s">
      <xsd:simpleType>
        <xsd:restriction base="dms:Choice">
          <xsd:enumeration value="Public"/>
          <xsd:enumeration value="Premium"/>
        </xsd:restriction>
      </xsd:simpleType>
    </xsd:element>
    <xsd:element name="Code_x002f_Loi" ma:index="20" nillable="true" ma:displayName="Code /Loi" ma:description="Codes, lois, ordonnances et règlements" ma:format="Dropdown" ma:internalName="Code_x002f_Loi">
      <xsd:simpleType>
        <xsd:restriction base="dms:Choice">
          <xsd:enumeration value="AI"/>
          <xsd:enumeration value="APG"/>
          <xsd:enumeration value="CC"/>
          <xsd:enumeration value="CO"/>
          <xsd:enumeration value="CP"/>
          <xsd:enumeration value="CPC"/>
          <xsd:enumeration value="CPP"/>
          <xsd:enumeration value="CST"/>
          <xsd:enumeration value="LAA"/>
          <xsd:enumeration value="LAFAM"/>
          <xsd:enumeration value="LAM"/>
          <xsd:enumeration value="LAMal"/>
          <xsd:enumeration value="LAPG"/>
          <xsd:enumeration value="LAVI"/>
          <xsd:enumeration value="LCA"/>
          <xsd:enumeration value="LDEP"/>
          <xsd:enumeration value="LEMO"/>
          <xsd:enumeration value="LHand"/>
          <xsd:enumeration value="LPC"/>
          <xsd:enumeration value="LPD"/>
          <xsd:enumeration value="LPGA"/>
          <xsd:enumeration value="LPMed"/>
          <xsd:enumeration value="Lstup"/>
          <xsd:enumeration value="LPSan"/>
          <xsd:enumeration value="OCPSan"/>
          <xsd:enumeration value="LPMA"/>
          <xsd:enumeration value="LPTh"/>
          <xsd:enumeration value="Loi sur la transplantation"/>
          <xsd:enumeration value="LSAMal"/>
          <xsd:enumeration value="OAMal"/>
          <xsd:enumeration value="OCStup"/>
          <xsd:enumeration value="ODEP"/>
          <xsd:enumeration value="OLAA"/>
          <xsd:enumeration value="OMAA"/>
          <xsd:enumeration value="OMAV"/>
          <xsd:enumeration value="OPAS"/>
          <xsd:enumeration value="OPGA"/>
          <xsd:enumeration value="ORe-DFI"/>
          <xsd:enumeration value="ORPSan"/>
          <xsd:enumeration value="RAI"/>
          <xsd:enumeration value="Choix 40"/>
        </xsd:restriction>
      </xsd:simpleType>
    </xsd:element>
    <xsd:element name="Trousse" ma:index="21" nillable="true" ma:displayName="Trousse" ma:description="Trousses" ma:format="Dropdown" ma:internalName="Trousse">
      <xsd:simpleType>
        <xsd:restriction base="dms:Choice">
          <xsd:enumeration value="CAS_I"/>
          <xsd:enumeration value="Corrigés"/>
          <xsd:enumeration value="Découverte"/>
          <xsd:enumeration value="Entraînement"/>
          <xsd:enumeration value="Examen"/>
          <xsd:enumeration value="Expert"/>
          <xsd:enumeration value="Premium"/>
          <xsd:enumeration value="Standard"/>
          <xsd:enumeration value="Thématique"/>
        </xsd:restriction>
      </xsd:simpleType>
    </xsd:element>
    <xsd:element name="Facult_x00e9_" ma:index="22" nillable="true" ma:displayName="Faculté" ma:format="Dropdown" ma:internalName="Facult_x00e9_">
      <xsd:simpleType>
        <xsd:union memberTypes="dms:Text">
          <xsd:simpleType>
            <xsd:restriction base="dms:Choice">
              <xsd:enumeration value="ASSC"/>
              <xsd:enumeration value="Soins infirmiers"/>
              <xsd:enumeration value="Médecine"/>
              <xsd:enumeration value="Paramédicale"/>
              <xsd:enumeration value="Droit"/>
              <xsd:enumeration value="Patients &amp; proches"/>
              <xsd:enumeration value="Administration &amp; Management"/>
              <xsd:enumeration value="Formation continue"/>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Difficult_x00e9_ xmlns="07104ea7-f245-4466-9c6f-6502bdf82c95" xsi:nil="true"/>
    <Loi xmlns="07104ea7-f245-4466-9c6f-6502bdf82c95" xsi:nil="true"/>
    <Th_x00e8_me xmlns="07104ea7-f245-4466-9c6f-6502bdf82c95">Responsabilité médicale</Th_x00e8_me>
    <TAG xmlns="07104ea7-f245-4466-9c6f-6502bdf82c95" xsi:nil="true"/>
    <Type_1 xmlns="07104ea7-f245-4466-9c6f-6502bdf82c95">CJX</Type_1>
    <Hub xmlns="07104ea7-f245-4466-9c6f-6502bdf82c95">HUB — Droit médical</Hub>
    <Niveau xmlns="07104ea7-f245-4466-9c6f-6502bdf82c95">
      <Value>Basique</Value>
    </Niveau>
    <Acc_x00e8_s xmlns="07104ea7-f245-4466-9c6f-6502bdf82c95">Premium</Acc_x00e8_s>
    <Public xmlns="07104ea7-f245-4466-9c6f-6502bdf82c95">TEAM</Public>
    <Code_x002f_Loi xmlns="07104ea7-f245-4466-9c6f-6502bdf82c95">CC</Code_x002f_Loi>
    <Trousse xmlns="07104ea7-f245-4466-9c6f-6502bdf82c95" xsi:nil="true"/>
    <Facult_x00e9_ xmlns="07104ea7-f245-4466-9c6f-6502bdf82c95"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7607435-30C2-4005-A856-737B2E8BA3FC}">
  <ds:schemaRefs>
    <ds:schemaRef ds:uri="http://schemas.openxmlformats.org/officeDocument/2006/bibliography"/>
  </ds:schemaRefs>
</ds:datastoreItem>
</file>

<file path=customXml/itemProps3.xml><?xml version="1.0" encoding="utf-8"?>
<ds:datastoreItem xmlns:ds="http://schemas.openxmlformats.org/officeDocument/2006/customXml" ds:itemID="{57CDA08A-521E-4270-84B5-EDB7CDA2D49F}"/>
</file>

<file path=customXml/itemProps4.xml><?xml version="1.0" encoding="utf-8"?>
<ds:datastoreItem xmlns:ds="http://schemas.openxmlformats.org/officeDocument/2006/customXml" ds:itemID="{AA922C4A-BE5F-4F9A-B654-C633B6D7B2D8}"/>
</file>

<file path=customXml/itemProps5.xml><?xml version="1.0" encoding="utf-8"?>
<ds:datastoreItem xmlns:ds="http://schemas.openxmlformats.org/officeDocument/2006/customXml" ds:itemID="{DBE41315-EEA3-4A50-A4E9-5E166B987DF7}"/>
</file>

<file path=docProps/app.xml><?xml version="1.0" encoding="utf-8"?>
<Properties xmlns="http://schemas.openxmlformats.org/officeDocument/2006/extended-properties" xmlns:vt="http://schemas.openxmlformats.org/officeDocument/2006/docPropsVTypes">
  <Template>Base empire TT</Template>
  <TotalTime>0</TotalTime>
  <Pages>22</Pages>
  <Words>6665</Words>
  <Characters>36662</Characters>
  <Application>Microsoft Office Word</Application>
  <DocSecurity>0</DocSecurity>
  <Lines>305</Lines>
  <Paragraphs>86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43241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Ennoncés &amp; réponsest</dc:subject>
  <dc:creator>Laurence Petoud</dc:creator>
  <cp:keywords/>
  <dc:description/>
  <cp:lastModifiedBy>Laurence Petoud</cp:lastModifiedBy>
  <cp:revision>7</cp:revision>
  <dcterms:created xsi:type="dcterms:W3CDTF">2025-05-11T11:39:00Z</dcterms:created>
  <dcterms:modified xsi:type="dcterms:W3CDTF">2025-05-11T12:27:00Z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0x01010009FA3BBF9F5BB14B8218BE985B7B3A3D</vt:lpwstr>
  </property>
</Properties>
</file>