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108963427"/>
        <w:docPartObj>
          <w:docPartGallery w:val="Cover Pages"/>
          <w:docPartUnique/>
        </w:docPartObj>
      </w:sdtPr>
      <w:sdtEndPr/>
      <w:sdtContent>
        <w:p w14:paraId="1087EFA8" w14:textId="77777777" w:rsidR="00E4742B" w:rsidRDefault="00E474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98"/>
          </w:tblGrid>
          <w:tr w:rsidR="00E4742B" w14:paraId="3EE00D6F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A01B741" w14:textId="77777777" w:rsidR="00E4742B" w:rsidRDefault="00E4742B">
                <w:pPr>
                  <w:pStyle w:val="Sansinterligne"/>
                  <w:rPr>
                    <w:color w:val="0F4761" w:themeColor="accent1" w:themeShade="BF"/>
                    <w:sz w:val="24"/>
                  </w:rPr>
                </w:pPr>
              </w:p>
            </w:tc>
          </w:tr>
          <w:tr w:rsidR="00E4742B" w14:paraId="4D80F747" w14:textId="77777777">
            <w:tc>
              <w:tcPr>
                <w:tcW w:w="7672" w:type="dxa"/>
              </w:tcPr>
              <w:p w14:paraId="3470267A" w14:textId="1606CBC0" w:rsidR="00E4742B" w:rsidRDefault="000B6A44">
                <w:pPr>
                  <w:pStyle w:val="Sansinterligne"/>
                  <w:spacing w:line="216" w:lineRule="auto"/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</w:pPr>
                <w:r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  <w:t>Cas pratique RC</w:t>
                </w:r>
              </w:p>
            </w:tc>
          </w:tr>
          <w:tr w:rsidR="00E4742B" w14:paraId="4917ADAE" w14:textId="77777777">
            <w:sdt>
              <w:sdtPr>
                <w:rPr>
                  <w:color w:val="0F4761" w:themeColor="accent1" w:themeShade="BF"/>
                  <w:sz w:val="24"/>
                  <w:szCs w:val="24"/>
                </w:rPr>
                <w:alias w:val="Sous-titre"/>
                <w:id w:val="13406923"/>
                <w:placeholder>
                  <w:docPart w:val="A223644F2B1A47D7962613A6708256DD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79B3A47" w14:textId="6F0DA10D" w:rsidR="00E4742B" w:rsidRDefault="000B6A44">
                    <w:pPr>
                      <w:pStyle w:val="Sansinterligne"/>
                      <w:rPr>
                        <w:color w:val="0F4761" w:themeColor="accent1" w:themeShade="BF"/>
                        <w:sz w:val="24"/>
                      </w:rPr>
                    </w:pPr>
                    <w:r>
                      <w:rPr>
                        <w:color w:val="0F4761" w:themeColor="accent1" w:themeShade="BF"/>
                        <w:sz w:val="24"/>
                        <w:szCs w:val="24"/>
                      </w:rPr>
                      <w:t>Enoncés sans réponse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4706" w:type="pct"/>
            <w:tblLook w:val="04A0" w:firstRow="1" w:lastRow="0" w:firstColumn="1" w:lastColumn="0" w:noHBand="0" w:noVBand="1"/>
          </w:tblPr>
          <w:tblGrid>
            <w:gridCol w:w="9071"/>
          </w:tblGrid>
          <w:tr w:rsidR="00E4742B" w14:paraId="1E8C1AED" w14:textId="77777777" w:rsidTr="00E4742B">
            <w:tc>
              <w:tcPr>
                <w:tcW w:w="90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Arial" w:hAnsi="Arial" w:cs="Arial"/>
                    <w:b/>
                    <w:bCs/>
                    <w:color w:val="156082" w:themeColor="accent1"/>
                  </w:rPr>
                  <w:alias w:val="Auteur"/>
                  <w:id w:val="13406928"/>
                  <w:placeholder>
                    <w:docPart w:val="1BACD48ECD7045A2B7336852EAF8789E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C6EB7AA" w14:textId="77777777" w:rsidR="00E4742B" w:rsidRDefault="000B6A44">
                    <w:pPr>
                      <w:pStyle w:val="Sansinterligne"/>
                      <w:rPr>
                        <w:color w:val="156082" w:themeColor="accent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56082" w:themeColor="accent1"/>
                      </w:rPr>
                      <w:t>Laurence Petoud</w:t>
                    </w:r>
                  </w:p>
                </w:sdtContent>
              </w:sdt>
              <w:sdt>
                <w:sdtPr>
                  <w:rPr>
                    <w:color w:val="156082" w:themeColor="accent1"/>
                    <w:sz w:val="28"/>
                    <w:szCs w:val="28"/>
                  </w:rPr>
                  <w:alias w:val="Date"/>
                  <w:tag w:val="Date "/>
                  <w:id w:val="13406932"/>
                  <w:placeholder>
                    <w:docPart w:val="AE326D86BB6D45AD9FF7D60DEFE90EFE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25-05-03T00:00:00Z"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EndPr/>
                <w:sdtContent>
                  <w:p w14:paraId="2E88CB3A" w14:textId="77777777" w:rsidR="00E4742B" w:rsidRDefault="00E4742B">
                    <w:pPr>
                      <w:pStyle w:val="Sansinterligne"/>
                      <w:rPr>
                        <w:color w:val="156082" w:themeColor="accent1"/>
                        <w:sz w:val="28"/>
                        <w:szCs w:val="28"/>
                      </w:rPr>
                    </w:pPr>
                    <w:r>
                      <w:rPr>
                        <w:color w:val="156082" w:themeColor="accent1"/>
                        <w:sz w:val="28"/>
                        <w:szCs w:val="28"/>
                        <w:lang w:val="fr-FR"/>
                      </w:rPr>
                      <w:t>03/05/2025</w:t>
                    </w:r>
                  </w:p>
                </w:sdtContent>
              </w:sdt>
              <w:p w14:paraId="50E93B13" w14:textId="77777777" w:rsidR="00E4742B" w:rsidRDefault="00E4742B">
                <w:pPr>
                  <w:pStyle w:val="Sansinterligne"/>
                  <w:rPr>
                    <w:color w:val="156082" w:themeColor="accent1"/>
                  </w:rPr>
                </w:pPr>
              </w:p>
            </w:tc>
          </w:tr>
        </w:tbl>
        <w:p w14:paraId="7FF1B376" w14:textId="77777777" w:rsidR="00E4742B" w:rsidRDefault="00E4742B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9B5D4C" wp14:editId="3757204D">
                <wp:simplePos x="0" y="0"/>
                <wp:positionH relativeFrom="column">
                  <wp:posOffset>1540510</wp:posOffset>
                </wp:positionH>
                <wp:positionV relativeFrom="paragraph">
                  <wp:posOffset>4334510</wp:posOffset>
                </wp:positionV>
                <wp:extent cx="2184400" cy="2184400"/>
                <wp:effectExtent l="0" t="0" r="6350" b="6350"/>
                <wp:wrapNone/>
                <wp:docPr id="1467234037" name="Image 2" descr="Une image contenant croquis, Visage humain, personne, habits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7234037" name="Image 2" descr="Une image contenant croquis, Visage humain, personne, habits&#10;&#10;Le contenu généré par l’IA peut être incorrect.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4400" cy="218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767EAD00" w14:textId="77777777" w:rsidR="002E02D3" w:rsidRDefault="002E02D3"/>
    <w:p w14:paraId="74BFD202" w14:textId="77777777" w:rsidR="00E4742B" w:rsidRPr="00AD6B9D" w:rsidRDefault="00AD6B9D">
      <w:pPr>
        <w:rPr>
          <w:rFonts w:ascii="Arial" w:hAnsi="Arial" w:cs="Arial"/>
          <w:b/>
          <w:bCs/>
          <w:color w:val="215E99" w:themeColor="text2" w:themeTint="BF"/>
        </w:rPr>
      </w:pPr>
      <w:r w:rsidRPr="00AD6B9D">
        <w:rPr>
          <w:rFonts w:ascii="Arial" w:hAnsi="Arial" w:cs="Arial"/>
          <w:b/>
          <w:bCs/>
          <w:color w:val="215E99" w:themeColor="text2" w:themeTint="BF"/>
        </w:rPr>
        <w:t>INTRODUCTION</w:t>
      </w:r>
    </w:p>
    <w:p w14:paraId="7DE87E0D" w14:textId="77777777" w:rsidR="00CE58FA" w:rsidRDefault="00CE58FA" w:rsidP="00CE58FA">
      <w:pPr>
        <w:rPr>
          <w:b/>
          <w:bCs/>
        </w:rPr>
      </w:pPr>
    </w:p>
    <w:p w14:paraId="5B38A524" w14:textId="77777777" w:rsidR="00CE58FA" w:rsidRPr="00CE58FA" w:rsidRDefault="00CE58FA" w:rsidP="00CE58FA">
      <w:r w:rsidRPr="00CE58FA">
        <w:rPr>
          <w:b/>
          <w:bCs/>
        </w:rPr>
        <w:t>Bienvenue dans votre univers de perfectionnement et de défis !</w:t>
      </w:r>
      <w:r w:rsidRPr="00CE58FA">
        <w:t xml:space="preserve"> </w:t>
      </w:r>
    </w:p>
    <w:p w14:paraId="27244FFD" w14:textId="77777777" w:rsidR="00607855" w:rsidRDefault="00607855" w:rsidP="00607855">
      <w:r w:rsidRPr="00607855">
        <w:rPr>
          <w:b/>
          <w:bCs/>
        </w:rPr>
        <w:t>Découvrez une ressource complète et interactive sur le droit médical et les droits des patients</w:t>
      </w:r>
      <w:r w:rsidRPr="00607855">
        <w:t xml:space="preserve"> </w:t>
      </w:r>
    </w:p>
    <w:p w14:paraId="371D64B1" w14:textId="77777777" w:rsidR="00607855" w:rsidRPr="00607855" w:rsidRDefault="00607855" w:rsidP="00607855">
      <w:pPr>
        <w:jc w:val="both"/>
      </w:pPr>
      <w:r w:rsidRPr="00607855">
        <w:t>Que vous soyez étudiant, professionnel de santé ou simplement curieux d’en savoir plus sur le droit des patients, cette banque de documents vous accompagne à chaque étape de votre apprentissage et de votre perfectionnement.</w:t>
      </w:r>
    </w:p>
    <w:p w14:paraId="7DACB496" w14:textId="77777777" w:rsidR="00607855" w:rsidRDefault="00607855" w:rsidP="00607855">
      <w:r w:rsidRPr="00607855">
        <w:t xml:space="preserve">Accédez à une diversité de formats pédagogiques adaptés à tous les niveaux : </w:t>
      </w:r>
    </w:p>
    <w:p w14:paraId="6598D9F9" w14:textId="77777777" w:rsidR="00607855" w:rsidRDefault="00607855" w:rsidP="00607855">
      <w:r w:rsidRPr="00607855">
        <w:rPr>
          <w:rFonts w:ascii="Segoe UI Symbol" w:hAnsi="Segoe UI Symbol" w:cs="Segoe UI Symbol"/>
        </w:rPr>
        <w:t>✔</w:t>
      </w:r>
      <w:r w:rsidRPr="00607855">
        <w:t xml:space="preserve"> </w:t>
      </w:r>
      <w:r w:rsidRPr="00607855">
        <w:rPr>
          <w:b/>
          <w:bCs/>
        </w:rPr>
        <w:t>Quizz et QCM</w:t>
      </w:r>
      <w:r w:rsidRPr="00607855">
        <w:t xml:space="preserve"> progressifs pour tester vos connaissances </w:t>
      </w:r>
    </w:p>
    <w:p w14:paraId="33EF0C7C" w14:textId="77777777" w:rsidR="00607855" w:rsidRDefault="00607855" w:rsidP="00607855">
      <w:r w:rsidRPr="00607855">
        <w:rPr>
          <w:rFonts w:ascii="Segoe UI Symbol" w:hAnsi="Segoe UI Symbol" w:cs="Segoe UI Symbol"/>
        </w:rPr>
        <w:t>✔</w:t>
      </w:r>
      <w:r w:rsidRPr="00607855">
        <w:t xml:space="preserve"> </w:t>
      </w:r>
      <w:r w:rsidRPr="00607855">
        <w:rPr>
          <w:b/>
          <w:bCs/>
        </w:rPr>
        <w:t>Cas pratiques</w:t>
      </w:r>
      <w:r w:rsidRPr="00607855">
        <w:t xml:space="preserve"> avec et sans analyse pour affiner votre raisonnement juridique </w:t>
      </w:r>
    </w:p>
    <w:p w14:paraId="74BEC184" w14:textId="77777777" w:rsidR="00607855" w:rsidRDefault="00607855" w:rsidP="00607855">
      <w:r w:rsidRPr="00607855">
        <w:rPr>
          <w:rFonts w:ascii="Segoe UI Symbol" w:hAnsi="Segoe UI Symbol" w:cs="Segoe UI Symbol"/>
        </w:rPr>
        <w:t>✔</w:t>
      </w:r>
      <w:r w:rsidRPr="00607855">
        <w:t xml:space="preserve"> </w:t>
      </w:r>
      <w:r w:rsidRPr="00607855">
        <w:rPr>
          <w:b/>
          <w:bCs/>
        </w:rPr>
        <w:t>Fiches pratiques</w:t>
      </w:r>
      <w:r w:rsidRPr="00607855">
        <w:t xml:space="preserve"> claires et synthétiques pour une compréhension rapide </w:t>
      </w:r>
    </w:p>
    <w:p w14:paraId="5512E84D" w14:textId="77777777" w:rsidR="00607855" w:rsidRDefault="00607855" w:rsidP="00607855">
      <w:r w:rsidRPr="00607855">
        <w:rPr>
          <w:rFonts w:ascii="Segoe UI Symbol" w:hAnsi="Segoe UI Symbol" w:cs="Segoe UI Symbol"/>
        </w:rPr>
        <w:t>✔</w:t>
      </w:r>
      <w:r w:rsidRPr="00607855">
        <w:t xml:space="preserve"> </w:t>
      </w:r>
      <w:r w:rsidRPr="00607855">
        <w:rPr>
          <w:b/>
          <w:bCs/>
        </w:rPr>
        <w:t xml:space="preserve">Cartes mentales et flash </w:t>
      </w:r>
      <w:proofErr w:type="spellStart"/>
      <w:r w:rsidRPr="00607855">
        <w:rPr>
          <w:b/>
          <w:bCs/>
        </w:rPr>
        <w:t>cards</w:t>
      </w:r>
      <w:proofErr w:type="spellEnd"/>
      <w:r w:rsidRPr="00607855">
        <w:t xml:space="preserve"> pour mémoriser efficacement les notions clés </w:t>
      </w:r>
    </w:p>
    <w:p w14:paraId="5166BBD8" w14:textId="77777777" w:rsidR="00607855" w:rsidRPr="00607855" w:rsidRDefault="00607855" w:rsidP="00607855">
      <w:pPr>
        <w:ind w:left="142" w:hanging="142"/>
      </w:pPr>
      <w:r w:rsidRPr="00607855">
        <w:rPr>
          <w:rFonts w:ascii="Segoe UI Symbol" w:hAnsi="Segoe UI Symbol" w:cs="Segoe UI Symbol"/>
        </w:rPr>
        <w:t>✔</w:t>
      </w:r>
      <w:r w:rsidRPr="00607855">
        <w:t xml:space="preserve"> </w:t>
      </w:r>
      <w:r w:rsidRPr="00607855">
        <w:rPr>
          <w:b/>
          <w:bCs/>
        </w:rPr>
        <w:t>Notes de cours enrichies</w:t>
      </w:r>
      <w:r w:rsidRPr="00607855">
        <w:t xml:space="preserve"> tirées d’une préparation approfondie au CAS en droit des patients et de la santé publique</w:t>
      </w:r>
    </w:p>
    <w:p w14:paraId="6D41408E" w14:textId="77777777" w:rsidR="00607855" w:rsidRPr="00607855" w:rsidRDefault="00607855" w:rsidP="00607855">
      <w:pPr>
        <w:jc w:val="both"/>
      </w:pPr>
      <w:r w:rsidRPr="00607855">
        <w:t>Pensé pour allier théorie et mise en application, cet ensemble vous offre un outil précieux dans votre démarche d’apprentissage et dans votre pratique professionnelle.</w:t>
      </w:r>
    </w:p>
    <w:p w14:paraId="7B5687C9" w14:textId="77777777" w:rsidR="00607855" w:rsidRPr="00607855" w:rsidRDefault="00607855" w:rsidP="00607855">
      <w:pPr>
        <w:ind w:left="426" w:hanging="426"/>
        <w:jc w:val="both"/>
      </w:pPr>
      <w:r w:rsidRPr="00607855">
        <w:rPr>
          <w:rFonts w:ascii="Segoe UI Emoji" w:hAnsi="Segoe UI Emoji" w:cs="Segoe UI Emoji"/>
        </w:rPr>
        <w:t>🔍</w:t>
      </w:r>
      <w:r w:rsidRPr="00607855">
        <w:t xml:space="preserve"> Transformez votre approche du droit médical grâce à une méthode structurée, dynamique et interactive !</w:t>
      </w:r>
    </w:p>
    <w:p w14:paraId="41A42221" w14:textId="77777777" w:rsidR="00CE58FA" w:rsidRPr="00CE58FA" w:rsidRDefault="00CE58FA" w:rsidP="00CE58FA">
      <w:pPr>
        <w:spacing w:line="276" w:lineRule="auto"/>
        <w:jc w:val="both"/>
      </w:pPr>
      <w:r w:rsidRPr="00CE58FA">
        <w:t>Ce fichier est bien plus qu'un simple recueil de ressources : c'est une véritable invitation à explorer, à réfléchir, et à se dépasser. Quizz stimulants, cas pratiques captivants, analyses approfondies… Chaque section a été soigneusement conçue pour éveiller votre curiosité et affûter vos compétences.</w:t>
      </w:r>
    </w:p>
    <w:p w14:paraId="50BE2C6C" w14:textId="77777777" w:rsidR="00607855" w:rsidRDefault="00CE58FA" w:rsidP="00CE58FA">
      <w:pPr>
        <w:spacing w:line="276" w:lineRule="auto"/>
        <w:jc w:val="both"/>
      </w:pPr>
      <w:r w:rsidRPr="00CE58FA">
        <w:t xml:space="preserve">Que vous soyez ici pour tester vos connaissances, affronter des scénarios réalistes ou plonger au cœur de la réflexion critique, vous êtes au bon endroit. </w:t>
      </w:r>
    </w:p>
    <w:p w14:paraId="2ABAFC4F" w14:textId="77777777" w:rsidR="00CE58FA" w:rsidRPr="00CE58FA" w:rsidRDefault="00CE58FA" w:rsidP="00CE58FA">
      <w:pPr>
        <w:spacing w:line="276" w:lineRule="auto"/>
        <w:jc w:val="both"/>
      </w:pPr>
      <w:r w:rsidRPr="00CE58FA">
        <w:t>Préparez-vous à relever des défis intellectuels, à affiner vos raisonnements, et à construire les bases solides de votre maîtrise.</w:t>
      </w:r>
    </w:p>
    <w:p w14:paraId="626E2AB4" w14:textId="77777777" w:rsidR="00CE58FA" w:rsidRPr="00CE58FA" w:rsidRDefault="00CE58FA" w:rsidP="00CE58FA">
      <w:pPr>
        <w:spacing w:line="276" w:lineRule="auto"/>
        <w:jc w:val="both"/>
      </w:pPr>
      <w:r w:rsidRPr="00CE58FA">
        <w:t xml:space="preserve">Le but du jeu ? Apprendre, progresser et — pourquoi pas — s’amuser un peu en chemin. </w:t>
      </w:r>
    </w:p>
    <w:p w14:paraId="37692A96" w14:textId="77777777" w:rsidR="00CE58FA" w:rsidRPr="00CE58FA" w:rsidRDefault="00CE58FA" w:rsidP="00CE58FA">
      <w:pPr>
        <w:spacing w:line="276" w:lineRule="auto"/>
        <w:jc w:val="both"/>
      </w:pPr>
      <w:r w:rsidRPr="00CE58FA">
        <w:t xml:space="preserve">Alors, laissez-vous guider et découvrez tout ce que cette œuvre a à vous offrir. </w:t>
      </w:r>
    </w:p>
    <w:p w14:paraId="5893853F" w14:textId="77777777" w:rsidR="00CE58FA" w:rsidRPr="00CE58FA" w:rsidRDefault="00CE58FA" w:rsidP="00CE58FA">
      <w:pPr>
        <w:spacing w:line="276" w:lineRule="auto"/>
        <w:jc w:val="both"/>
      </w:pPr>
      <w:r w:rsidRPr="00CE58FA">
        <w:t xml:space="preserve">Bonne exploration, et surtout… bon courage ! </w:t>
      </w:r>
    </w:p>
    <w:p w14:paraId="2E6BAA0A" w14:textId="77777777" w:rsidR="00AD6B9D" w:rsidRDefault="00AD6B9D"/>
    <w:p w14:paraId="7367078A" w14:textId="77777777" w:rsidR="00AD6B9D" w:rsidRDefault="00AD6B9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52992507" w14:textId="77777777" w:rsidR="00E4742B" w:rsidRDefault="00E4742B" w:rsidP="00E4742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4742B">
        <w:rPr>
          <w:rFonts w:ascii="Arial" w:hAnsi="Arial" w:cs="Arial"/>
          <w:b/>
          <w:bCs/>
          <w:sz w:val="32"/>
          <w:szCs w:val="32"/>
        </w:rPr>
        <w:lastRenderedPageBreak/>
        <w:t>TABLE DES MATIERES</w:t>
      </w:r>
    </w:p>
    <w:p w14:paraId="582E6CF6" w14:textId="77777777" w:rsidR="00E4742B" w:rsidRDefault="00E4742B" w:rsidP="00E4742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816F708" w14:textId="77777777" w:rsidR="00536263" w:rsidRDefault="005362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40FA354" w14:textId="77777777" w:rsidR="00E4742B" w:rsidRDefault="00E4742B" w:rsidP="00E4742B">
      <w:pPr>
        <w:jc w:val="both"/>
        <w:rPr>
          <w:rFonts w:ascii="Arial" w:hAnsi="Arial" w:cs="Arial"/>
          <w:sz w:val="20"/>
          <w:szCs w:val="20"/>
        </w:rPr>
      </w:pPr>
    </w:p>
    <w:p w14:paraId="16F9BAEA" w14:textId="77777777" w:rsidR="00536263" w:rsidRPr="00CE58FA" w:rsidRDefault="00536263" w:rsidP="00A41177">
      <w:pPr>
        <w:pStyle w:val="Titre1"/>
        <w:pBdr>
          <w:bottom w:val="none" w:sz="0" w:space="0" w:color="auto"/>
        </w:pBdr>
      </w:pPr>
    </w:p>
    <w:p w14:paraId="6A4CB04B" w14:textId="77777777" w:rsidR="000B6A44" w:rsidRPr="000B6A44" w:rsidRDefault="00607855" w:rsidP="000B6A44">
      <w:pPr>
        <w:pStyle w:val="Paragraphedeliste"/>
        <w:ind w:left="993"/>
      </w:pPr>
      <w:r>
        <w:br/>
      </w:r>
      <w:r w:rsidR="000B6A44" w:rsidRPr="000B6A44">
        <w:rPr>
          <w:b/>
          <w:bCs/>
        </w:rPr>
        <w:t>Cas pratique 1.1 : Erreur de diagnostic en consultation de première ligne</w:t>
      </w:r>
    </w:p>
    <w:p w14:paraId="1B14194C" w14:textId="77777777" w:rsidR="000B6A44" w:rsidRPr="000B6A44" w:rsidRDefault="000B6A44" w:rsidP="000B6A44">
      <w:pPr>
        <w:pStyle w:val="Paragraphedeliste"/>
        <w:ind w:left="993"/>
      </w:pPr>
      <w:r w:rsidRPr="000B6A44">
        <w:t>Description : Un patient se présente avec des symptômes atypiques, et le médecin de première ligne ne parvient pas à diagnostiquer correctement la condition, entraînant un retard dans le traitement approprié.</w:t>
      </w:r>
    </w:p>
    <w:p w14:paraId="6D1B293C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1.2 : Prescription inappropriée sans vérification des antécédents</w:t>
      </w:r>
    </w:p>
    <w:p w14:paraId="4609DE94" w14:textId="77777777" w:rsidR="000B6A44" w:rsidRPr="000B6A44" w:rsidRDefault="000B6A44" w:rsidP="000B6A44">
      <w:pPr>
        <w:pStyle w:val="Paragraphedeliste"/>
        <w:ind w:left="993"/>
      </w:pPr>
      <w:r w:rsidRPr="000B6A44">
        <w:t>Description : Un médecin prescrit un médicament sans vérifier les antécédents médicaux du patient, ce qui entraîne une réaction indésirable grave.</w:t>
      </w:r>
    </w:p>
    <w:p w14:paraId="03ACB04E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 xml:space="preserve">Cas pratique 1.3 : Défaut d’information </w:t>
      </w:r>
      <w:proofErr w:type="spellStart"/>
      <w:r w:rsidRPr="000B6A44">
        <w:rPr>
          <w:b/>
          <w:bCs/>
        </w:rPr>
        <w:t>pré-opératoire</w:t>
      </w:r>
      <w:proofErr w:type="spellEnd"/>
    </w:p>
    <w:p w14:paraId="12F46054" w14:textId="77777777" w:rsidR="000B6A44" w:rsidRPr="000B6A44" w:rsidRDefault="000B6A44" w:rsidP="000B6A44">
      <w:pPr>
        <w:pStyle w:val="Paragraphedeliste"/>
        <w:ind w:left="993"/>
      </w:pPr>
      <w:r w:rsidRPr="000B6A44">
        <w:t>Description : Un chirurgien omet de fournir des informations complètes sur les risques et les bénéfices d’une intervention chirurgicale, ce qui conduit à une décision mal informée de la part du patient.</w:t>
      </w:r>
    </w:p>
    <w:p w14:paraId="44202EA3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1.4 : Retard dans le traitement en urgence</w:t>
      </w:r>
    </w:p>
    <w:p w14:paraId="21A9FEEE" w14:textId="77777777" w:rsidR="000B6A44" w:rsidRPr="000B6A44" w:rsidRDefault="000B6A44" w:rsidP="000B6A44">
      <w:pPr>
        <w:pStyle w:val="Paragraphedeliste"/>
        <w:ind w:left="993"/>
      </w:pPr>
      <w:r w:rsidRPr="000B6A44">
        <w:t>Description : Un patient en situation d’urgence ne reçoit pas le traitement nécessaire en temps opportun, ce qui aggrave son état de santé.</w:t>
      </w:r>
    </w:p>
    <w:p w14:paraId="11A5B087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1.5 : Erreur technique lors d'une intervention chirurgicale</w:t>
      </w:r>
    </w:p>
    <w:p w14:paraId="1C71EA23" w14:textId="77777777" w:rsidR="000B6A44" w:rsidRPr="000B6A44" w:rsidRDefault="000B6A44" w:rsidP="000B6A44">
      <w:pPr>
        <w:pStyle w:val="Paragraphedeliste"/>
        <w:ind w:left="993"/>
      </w:pPr>
      <w:r w:rsidRPr="000B6A44">
        <w:t>Description : Une erreur technique se produit pendant une intervention chirurgicale, entraînant des complications post-opératoires pour le patient.</w:t>
      </w:r>
    </w:p>
    <w:p w14:paraId="592FF1F1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2.1 : Négligence dans l’exécution personnelle d’un geste technique</w:t>
      </w:r>
    </w:p>
    <w:p w14:paraId="1F61915B" w14:textId="77777777" w:rsidR="000B6A44" w:rsidRPr="000B6A44" w:rsidRDefault="000B6A44" w:rsidP="000B6A44">
      <w:pPr>
        <w:pStyle w:val="Paragraphedeliste"/>
        <w:ind w:left="993"/>
      </w:pPr>
      <w:r w:rsidRPr="000B6A44">
        <w:t>Description : Un professionnel de santé néglige de suivre les protocoles standards lors de l’exécution d’un geste technique, causant un préjudice au patient.</w:t>
      </w:r>
    </w:p>
    <w:p w14:paraId="7D120BA0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2.2 : Application d’une méthode non reconnue</w:t>
      </w:r>
    </w:p>
    <w:p w14:paraId="3854E27A" w14:textId="77777777" w:rsidR="000B6A44" w:rsidRPr="000B6A44" w:rsidRDefault="000B6A44" w:rsidP="000B6A44">
      <w:pPr>
        <w:pStyle w:val="Paragraphedeliste"/>
        <w:ind w:left="993"/>
      </w:pPr>
      <w:r w:rsidRPr="000B6A44">
        <w:t>Description : Un médecin utilise une méthode de traitement non reconnue par la communauté médicale, entraînant des effets indésirables pour le patient.</w:t>
      </w:r>
    </w:p>
    <w:p w14:paraId="2B8124C9" w14:textId="77777777" w:rsidR="000B6A44" w:rsidRPr="000B6A44" w:rsidRDefault="000B6A44" w:rsidP="000B6A44">
      <w:pPr>
        <w:pStyle w:val="Paragraphedeliste"/>
        <w:ind w:left="993"/>
      </w:pPr>
      <w:r w:rsidRPr="000B6A44">
        <w:rPr>
          <w:b/>
          <w:bCs/>
        </w:rPr>
        <w:t>Cas pratique 2.3 : Manquement au suivi personnalisé du dossier</w:t>
      </w:r>
    </w:p>
    <w:p w14:paraId="49445004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2.3 : Manquement au suivi personnalisé du dossier</w:t>
      </w:r>
    </w:p>
    <w:p w14:paraId="5CBE8CE2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ne reçoit pas le suivi personnalisé nécessaire après un traitement, ce qui conduit à une détérioration de son état de santé.</w:t>
      </w:r>
    </w:p>
    <w:p w14:paraId="152F955E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2.4 : Usage inapproprié d’un dispositif sans formation adéquate</w:t>
      </w:r>
    </w:p>
    <w:p w14:paraId="5D81F3C4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professionnel de santé utilise un dispositif médical sans avoir reçu la formation adéquate, entraînant des complications pour le patient.</w:t>
      </w:r>
    </w:p>
    <w:p w14:paraId="5D717E05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2.5 : Fausse représentation de compétence</w:t>
      </w:r>
    </w:p>
    <w:p w14:paraId="65FC5B28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médecin prétend avoir des compétences qu'il ne possède pas, ce qui mène à une prise en charge inappropriée du patient.</w:t>
      </w:r>
    </w:p>
    <w:p w14:paraId="1D420977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3.1 : Défaut d’information dans le cadre d’un contrat de soins</w:t>
      </w:r>
    </w:p>
    <w:p w14:paraId="0971DE58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n'est pas informé correctement des termes et conditions du contrat de soins, ce qui entraîne des malentendus et des attentes non satisfaites.</w:t>
      </w:r>
    </w:p>
    <w:p w14:paraId="706B8DB6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3.2 : Non-respect du suivi post-opératoire contractuel</w:t>
      </w:r>
    </w:p>
    <w:p w14:paraId="692884B6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professionnel de santé ne respecte pas les engagements de suivi post-opératoire stipulés dans le contrat de soins, ce qui nuit à la récupération du patient.</w:t>
      </w:r>
    </w:p>
    <w:p w14:paraId="52783539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3.3 : Rupture d’une convention de soins pluriannuelle</w:t>
      </w:r>
    </w:p>
    <w:p w14:paraId="689EB641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convention de soins pluriannuelle est rompue prématurément, laissant le patient sans les soins continus nécessaires.</w:t>
      </w:r>
    </w:p>
    <w:p w14:paraId="2BC2C0B1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3.4 : Non-conformité d’un protocole de traitement contractuel</w:t>
      </w:r>
    </w:p>
    <w:p w14:paraId="69672169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protocole de traitement stipulé dans le contrat de soins n'est pas suivi, ce qui entraîne des résultats médicaux insatisfaisants.</w:t>
      </w:r>
    </w:p>
    <w:p w14:paraId="3479B48D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3.5 : Défaut de communication dans le cadre d’un contrat de traitement</w:t>
      </w:r>
    </w:p>
    <w:p w14:paraId="3C106548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mauvaise communication entre le patient et le professionnel de santé concernant le contrat de traitement conduit à des erreurs et des malentendus.</w:t>
      </w:r>
    </w:p>
    <w:p w14:paraId="5C0A4FC0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lastRenderedPageBreak/>
        <w:t>Cas pratique 4.1 : Dommage causé en dehors de toute relation contractuelle</w:t>
      </w:r>
    </w:p>
    <w:p w14:paraId="12A2555D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subit un dommage causé par un professionnel de santé en dehors de toute relation contractuelle, ce qui complique la réclamation de compensation.</w:t>
      </w:r>
    </w:p>
    <w:p w14:paraId="78B197BD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4.2 : Accident survenu lors d’une consultation en dehors du cadre contractuel</w:t>
      </w:r>
    </w:p>
    <w:p w14:paraId="50172E63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accident survient lors d'une consultation qui n'est pas couverte par un contrat de soins, entraînant des difficultés pour le patient à obtenir réparation.</w:t>
      </w:r>
    </w:p>
    <w:p w14:paraId="245B6834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4.3 : Négligence en salle d’attente entraînant un accident</w:t>
      </w:r>
    </w:p>
    <w:p w14:paraId="61B95D5E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négligence en salle d'attente entraîne un accident, causant des blessures au patient.</w:t>
      </w:r>
    </w:p>
    <w:p w14:paraId="1F3FCE1F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4.4 : Erreur de diagnostic en situation d’urgence hors contrat</w:t>
      </w:r>
    </w:p>
    <w:p w14:paraId="6DD32F1C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diagnostic erroné est posé en situation d'urgence, en dehors de tout contrat de soins, ce qui aggrave l'état du patient.</w:t>
      </w:r>
    </w:p>
    <w:p w14:paraId="59C339AF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 xml:space="preserve">Cas pratique 4.5 : Dommage corporel </w:t>
      </w:r>
      <w:proofErr w:type="gramStart"/>
      <w:r w:rsidRPr="000B6A44">
        <w:rPr>
          <w:lang w:eastAsia="fr-CH"/>
        </w:rPr>
        <w:t>suite à un</w:t>
      </w:r>
      <w:proofErr w:type="gramEnd"/>
      <w:r w:rsidRPr="000B6A44">
        <w:rPr>
          <w:lang w:eastAsia="fr-CH"/>
        </w:rPr>
        <w:t xml:space="preserve"> acte de négligence non contractuelle</w:t>
      </w:r>
    </w:p>
    <w:p w14:paraId="3188D9CC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acte de négligence en dehors de toute relation contractuelle cause un dommage corporel au patient.</w:t>
      </w:r>
    </w:p>
    <w:p w14:paraId="6A183E2C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5.1 : Doute sur le lien de causalité</w:t>
      </w:r>
    </w:p>
    <w:p w14:paraId="3F1620BC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Il existe un doute sur le lien de causalité entre l'acte médical et le dommage subi par le patient, compliquant la détermination de la responsabilité.</w:t>
      </w:r>
    </w:p>
    <w:p w14:paraId="4EF2A4B6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5.2 : Dommage moral consécutif à une erreur de diagnostic</w:t>
      </w:r>
    </w:p>
    <w:p w14:paraId="4DA5C0D8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erreur de diagnostic entraîne un dommage moral pour le patient, affectant son bien-être psychologique.</w:t>
      </w:r>
    </w:p>
    <w:p w14:paraId="6AE3F96E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5.3 : Séquelles physiques durables après une intervention</w:t>
      </w:r>
    </w:p>
    <w:p w14:paraId="46E4DE6E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souffre de séquelles physiques durables après une intervention chirurgicale, affectant sa qualité de vie.</w:t>
      </w:r>
    </w:p>
    <w:p w14:paraId="55360A56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5.4 : Dommage matériel lié à une défaillance d’équipement</w:t>
      </w:r>
    </w:p>
    <w:p w14:paraId="1537600F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défaillance d'équipement médical cause un dommage matériel au patient, nécessitant des réparations coûteuses.</w:t>
      </w:r>
    </w:p>
    <w:p w14:paraId="086CD8A0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5.5 : Préjudice psychologique et perte de qualité de vie</w:t>
      </w:r>
    </w:p>
    <w:p w14:paraId="52BF15F1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 xml:space="preserve">Description : Un patient subit un préjudice psychologique et une perte de qualité de vie </w:t>
      </w:r>
      <w:proofErr w:type="gramStart"/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suite à une</w:t>
      </w:r>
      <w:proofErr w:type="gramEnd"/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 xml:space="preserve"> erreur médicale.</w:t>
      </w:r>
    </w:p>
    <w:p w14:paraId="07B991A6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 xml:space="preserve">Cas pratique 6.1 : Préjudice corporel à court terme </w:t>
      </w:r>
      <w:proofErr w:type="gramStart"/>
      <w:r w:rsidRPr="000B6A44">
        <w:rPr>
          <w:lang w:eastAsia="fr-CH"/>
        </w:rPr>
        <w:t>suite à une</w:t>
      </w:r>
      <w:proofErr w:type="gramEnd"/>
      <w:r w:rsidRPr="000B6A44">
        <w:rPr>
          <w:lang w:eastAsia="fr-CH"/>
        </w:rPr>
        <w:t xml:space="preserve"> erreur de médication</w:t>
      </w:r>
    </w:p>
    <w:p w14:paraId="751551A3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erreur de médication cause un préjudice corporel à court terme au patient, nécessitant une intervention rapide.</w:t>
      </w:r>
    </w:p>
    <w:p w14:paraId="4DE9CD3B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 xml:space="preserve">Cas pratique 6.2 : Préjudice moral </w:t>
      </w:r>
      <w:proofErr w:type="gramStart"/>
      <w:r w:rsidRPr="000B6A44">
        <w:rPr>
          <w:lang w:eastAsia="fr-CH"/>
        </w:rPr>
        <w:t>suite à une</w:t>
      </w:r>
      <w:proofErr w:type="gramEnd"/>
      <w:r w:rsidRPr="000B6A44">
        <w:rPr>
          <w:lang w:eastAsia="fr-CH"/>
        </w:rPr>
        <w:t xml:space="preserve"> violation du devoir d’information</w:t>
      </w:r>
    </w:p>
    <w:p w14:paraId="1D732362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violation du devoir d'information entraîne un préjudice moral pour le patient, affectant sa confiance envers le professionnel de santé.</w:t>
      </w:r>
    </w:p>
    <w:p w14:paraId="65211CFF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6.3 : Préjudice économique lié à une incapacité de travail</w:t>
      </w:r>
    </w:p>
    <w:p w14:paraId="42625DE5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subit un préjudice économique en raison d'une incapacité de travail causée par une erreur médicale.</w:t>
      </w:r>
    </w:p>
    <w:p w14:paraId="52B8EC50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6.4 : Préjudice mixte (corporel et moral) post-opératoire</w:t>
      </w:r>
    </w:p>
    <w:p w14:paraId="1B4E95E7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souffre d'un préjudice mixte, corporel et moral, après une intervention chirurgicale.</w:t>
      </w:r>
    </w:p>
    <w:p w14:paraId="30D9746B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6.5 : Préjudice durable avec invalidité permanente</w:t>
      </w:r>
    </w:p>
    <w:p w14:paraId="2153FAE0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erreur médicale entraîne un préjudice durable avec une invalidité permanente pour le patient.</w:t>
      </w:r>
    </w:p>
    <w:p w14:paraId="2DCC1A39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7.1 : Souffrance psychologique après une erreur médicale</w:t>
      </w:r>
    </w:p>
    <w:p w14:paraId="0A16D50D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lastRenderedPageBreak/>
        <w:t>Description : Un patient souffre de troubles psychologiques après une erreur médicale, nécessitant un suivi thérapeutique.</w:t>
      </w:r>
    </w:p>
    <w:p w14:paraId="28F80D1F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8.1 : Compensation financière pour un traumatisme</w:t>
      </w:r>
    </w:p>
    <w:p w14:paraId="4F1C16FB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patient reçoit une compensation financière pour un traumatisme subi à la suite d'une erreur médicale.</w:t>
      </w:r>
    </w:p>
    <w:p w14:paraId="03AA8848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9.1 : Évaluation du montant en fonction de la gravité du préjudice</w:t>
      </w:r>
    </w:p>
    <w:p w14:paraId="403AF79D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Le montant de la compensation est évalué en fonction de la gravité du préjudice subi par le patient.</w:t>
      </w:r>
    </w:p>
    <w:p w14:paraId="313A2A7D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10.1 : Non-respect des engagements médicaux</w:t>
      </w:r>
    </w:p>
    <w:p w14:paraId="1F7CB8D5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professionnel de santé ne respecte pas les engagements médicaux pris envers le patient, entraînant des conséquences négatives.</w:t>
      </w:r>
    </w:p>
    <w:p w14:paraId="0ECB786E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11.1 : Lien direct entre faute et dommage</w:t>
      </w:r>
    </w:p>
    <w:p w14:paraId="2ED7DE84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Il existe un lien direct entre la faute commise par le professionnel de santé et le dommage subi par le patient.</w:t>
      </w:r>
    </w:p>
    <w:p w14:paraId="2A803D87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12.1 : Évaluation du lien entre faute et préjudice</w:t>
      </w:r>
    </w:p>
    <w:p w14:paraId="14C53A23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Le lien entre la faute médicale et le préjudice subi par le patient est évalué pour déterminer la responsabilité.</w:t>
      </w:r>
    </w:p>
    <w:p w14:paraId="6D541F3D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13.1 : Intervention d’un facteur externe</w:t>
      </w:r>
    </w:p>
    <w:p w14:paraId="4F3F4EC9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 facteur externe intervient dans la survenue du dommage, compliquant la détermination de la responsabilité.</w:t>
      </w:r>
    </w:p>
    <w:p w14:paraId="4ABE56F3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14.1 : Erreur médicale réduisant les chances de guérison</w:t>
      </w:r>
    </w:p>
    <w:p w14:paraId="031A91A1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erreur médicale réduit les chances de guérison du patient, affectant son pronostic.</w:t>
      </w:r>
    </w:p>
    <w:p w14:paraId="2D518FCD" w14:textId="77777777" w:rsidR="000B6A44" w:rsidRPr="000B6A44" w:rsidRDefault="000B6A44" w:rsidP="000B6A44">
      <w:pPr>
        <w:pStyle w:val="Paragraphedeliste"/>
        <w:rPr>
          <w:lang w:eastAsia="fr-CH"/>
        </w:rPr>
      </w:pPr>
      <w:r w:rsidRPr="000B6A44">
        <w:rPr>
          <w:lang w:eastAsia="fr-CH"/>
        </w:rPr>
        <w:t>Cas pratique 15.1 : Négligence grave du médecin</w:t>
      </w:r>
    </w:p>
    <w:p w14:paraId="2D067BCD" w14:textId="77777777" w:rsidR="000B6A44" w:rsidRPr="000B6A44" w:rsidRDefault="000B6A44" w:rsidP="000B6A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</w:pPr>
      <w:r w:rsidRPr="000B6A44"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H"/>
          <w14:ligatures w14:val="none"/>
        </w:rPr>
        <w:t>Description : Une négligence grave de la part du médecin entraîne des conséquences sévères pour le patient.</w:t>
      </w:r>
    </w:p>
    <w:p w14:paraId="05845DFB" w14:textId="317D002E" w:rsidR="00AD6B9D" w:rsidRDefault="00AD6B9D" w:rsidP="000B6A44"/>
    <w:p w14:paraId="7D2F39E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1.1 : Erreur de diagnostic en consultation de première ligne</w:t>
      </w:r>
    </w:p>
    <w:p w14:paraId="17CE816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1.2 : Prescription inappropriée sans vérification des antécédents</w:t>
      </w:r>
    </w:p>
    <w:p w14:paraId="6846544E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 xml:space="preserve">Cas pratique 1.3 : Défaut d’information </w:t>
      </w:r>
      <w:proofErr w:type="spellStart"/>
      <w:r w:rsidRPr="000B6A44">
        <w:t>pré-opératoire</w:t>
      </w:r>
      <w:proofErr w:type="spellEnd"/>
    </w:p>
    <w:p w14:paraId="6D1D2E04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1.4 : Retard dans le traitement en urgence</w:t>
      </w:r>
    </w:p>
    <w:p w14:paraId="137B4F0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1.5 : Erreur technique lors d'une intervention chirurgicale</w:t>
      </w:r>
    </w:p>
    <w:p w14:paraId="7C94B2C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2.1 : Négligence dans l’exécution personnelle d’un geste technique</w:t>
      </w:r>
    </w:p>
    <w:p w14:paraId="6F9CB086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2.2 : Application d’une méthode non reconnue</w:t>
      </w:r>
    </w:p>
    <w:p w14:paraId="692CF24C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2.3 : Manquement au suivi personnalisé du dossier</w:t>
      </w:r>
    </w:p>
    <w:p w14:paraId="7C5843EB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2.4 : Usage inapproprié d’un dispositif sans formation adéquate</w:t>
      </w:r>
    </w:p>
    <w:p w14:paraId="6132874E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2.5 : Fausse représentation de compétence</w:t>
      </w:r>
    </w:p>
    <w:p w14:paraId="6A7D9BC4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3.1 : Défaut d’information dans le cadre d’un contrat de soins</w:t>
      </w:r>
    </w:p>
    <w:p w14:paraId="6FCDA5A3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3.2 : Non-respect du suivi post-opératoire contractuel</w:t>
      </w:r>
    </w:p>
    <w:p w14:paraId="3F584C96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3.3 : Rupture d’une convention de soins pluriannuelle</w:t>
      </w:r>
    </w:p>
    <w:p w14:paraId="397EDF66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lastRenderedPageBreak/>
        <w:t>Cas pratique 3.4 : Non-conformité d’un protocole de traitement contractuel</w:t>
      </w:r>
    </w:p>
    <w:p w14:paraId="534D1BC7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3.5 : Défaut de communication dans le cadre d’un contrat de traitement</w:t>
      </w:r>
    </w:p>
    <w:p w14:paraId="502F855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4.1 : Dommage causé en dehors de toute relation contractuelle</w:t>
      </w:r>
    </w:p>
    <w:p w14:paraId="4A1A876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4.2 : Accident survenu lors d’une consultation en dehors du cadre contractuel</w:t>
      </w:r>
    </w:p>
    <w:p w14:paraId="76CA95B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4.3 : Négligence en salle d’attente entraînant un accident</w:t>
      </w:r>
    </w:p>
    <w:p w14:paraId="54DDCED7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4.4 : Erreur de diagnostic en situation d’urgence hors contrat</w:t>
      </w:r>
    </w:p>
    <w:p w14:paraId="5C54EDA3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 xml:space="preserve">Cas pratique 4.5 : Dommage corporel </w:t>
      </w:r>
      <w:proofErr w:type="gramStart"/>
      <w:r w:rsidRPr="000B6A44">
        <w:t>suite à un</w:t>
      </w:r>
      <w:proofErr w:type="gramEnd"/>
      <w:r w:rsidRPr="000B6A44">
        <w:t xml:space="preserve"> acte de négligence non contractuelle</w:t>
      </w:r>
    </w:p>
    <w:p w14:paraId="412D76C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5.1 : Doute sur le lien de causalité</w:t>
      </w:r>
    </w:p>
    <w:p w14:paraId="0831C393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5.2 : Dommage moral consécutif à une erreur de diagnostic</w:t>
      </w:r>
    </w:p>
    <w:p w14:paraId="7828A2BC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5.3 : Séquelles physiques durables après une intervention</w:t>
      </w:r>
    </w:p>
    <w:p w14:paraId="49F7F950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5.4 : Dommage matériel lié à une défaillance d’équipement</w:t>
      </w:r>
    </w:p>
    <w:p w14:paraId="4924450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5.5 : Préjudice psychologique et perte de qualité de vie</w:t>
      </w:r>
    </w:p>
    <w:p w14:paraId="0F783A7E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 xml:space="preserve">Cas pratique 6.1 : Préjudice corporel à court terme </w:t>
      </w:r>
      <w:proofErr w:type="gramStart"/>
      <w:r w:rsidRPr="000B6A44">
        <w:t>suite à une</w:t>
      </w:r>
      <w:proofErr w:type="gramEnd"/>
      <w:r w:rsidRPr="000B6A44">
        <w:t xml:space="preserve"> erreur de médication</w:t>
      </w:r>
    </w:p>
    <w:p w14:paraId="1268A24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 xml:space="preserve">Cas pratique 6.2 : Préjudice moral </w:t>
      </w:r>
      <w:proofErr w:type="gramStart"/>
      <w:r w:rsidRPr="000B6A44">
        <w:t>suite à une</w:t>
      </w:r>
      <w:proofErr w:type="gramEnd"/>
      <w:r w:rsidRPr="000B6A44">
        <w:t xml:space="preserve"> violation du devoir d’information</w:t>
      </w:r>
    </w:p>
    <w:p w14:paraId="53275C75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6.3 : Préjudice économique lié à une incapacité de travail</w:t>
      </w:r>
    </w:p>
    <w:p w14:paraId="2812D158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6.4 : Préjudice mixte (corporel et moral) post-opératoire</w:t>
      </w:r>
    </w:p>
    <w:p w14:paraId="74F5D277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6.5 : Préjudice durable avec invalidité permanente</w:t>
      </w:r>
    </w:p>
    <w:p w14:paraId="15981399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7.1 : Souffrance psychologique après une erreur médicale</w:t>
      </w:r>
    </w:p>
    <w:p w14:paraId="06348B82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8.1 : Compensation financière pour un traumatisme</w:t>
      </w:r>
    </w:p>
    <w:p w14:paraId="28D8B32C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9.1 : Évaluation du montant en fonction de la gravité du préjudice</w:t>
      </w:r>
    </w:p>
    <w:p w14:paraId="1C5E7AA0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10.1 : Non-respect des engagements médicaux</w:t>
      </w:r>
    </w:p>
    <w:p w14:paraId="6F930538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11.1 : Lien direct entre faute et dommage</w:t>
      </w:r>
    </w:p>
    <w:p w14:paraId="763C1EEA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12.1 : Évaluation du lien entre faute et préjudice</w:t>
      </w:r>
    </w:p>
    <w:p w14:paraId="7B7AF4A9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13.1 : Intervention d’un facteur externe</w:t>
      </w:r>
    </w:p>
    <w:p w14:paraId="3708E8C3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14.1 : Erreur médicale réduisant les chances de guérison</w:t>
      </w:r>
    </w:p>
    <w:p w14:paraId="6BD653EF" w14:textId="77777777" w:rsidR="000B6A44" w:rsidRPr="000B6A44" w:rsidRDefault="000B6A44" w:rsidP="000B6A44">
      <w:pPr>
        <w:numPr>
          <w:ilvl w:val="0"/>
          <w:numId w:val="6"/>
        </w:numPr>
      </w:pPr>
      <w:r w:rsidRPr="000B6A44">
        <w:t>Cas pratique 15.1 : Négligence grave du médecin 1.</w:t>
      </w:r>
    </w:p>
    <w:p w14:paraId="0F993FB5" w14:textId="77777777" w:rsidR="000B6A44" w:rsidRDefault="000B6A44" w:rsidP="000B6A44"/>
    <w:sectPr w:rsidR="000B6A44" w:rsidSect="00E474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3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8B00" w14:textId="77777777" w:rsidR="000B6A44" w:rsidRDefault="000B6A44" w:rsidP="00B822D2">
      <w:pPr>
        <w:spacing w:after="0" w:line="240" w:lineRule="auto"/>
      </w:pPr>
      <w:r>
        <w:separator/>
      </w:r>
    </w:p>
  </w:endnote>
  <w:endnote w:type="continuationSeparator" w:id="0">
    <w:p w14:paraId="07EF0C21" w14:textId="77777777" w:rsidR="000B6A44" w:rsidRDefault="000B6A44" w:rsidP="00B8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EC69" w14:textId="77777777" w:rsidR="00A41177" w:rsidRDefault="00A411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749" w14:textId="77777777" w:rsidR="00B822D2" w:rsidRPr="00AD6B9D" w:rsidRDefault="00E4742B" w:rsidP="00AD6B9D">
    <w:pPr>
      <w:pStyle w:val="Pieddepage"/>
      <w:pBdr>
        <w:top w:val="single" w:sz="4" w:space="6" w:color="215E99" w:themeColor="text2" w:themeTint="BF"/>
      </w:pBdr>
      <w:tabs>
        <w:tab w:val="clear" w:pos="4536"/>
      </w:tabs>
      <w:rPr>
        <w:rFonts w:ascii="Arial" w:hAnsi="Arial" w:cs="Arial"/>
      </w:rPr>
    </w:pPr>
    <w:r w:rsidRPr="00AD6B9D">
      <w:rPr>
        <w:rFonts w:ascii="Arial" w:hAnsi="Arial" w:cs="Arial"/>
      </w:rPr>
      <w:t>© L. Petoud</w:t>
    </w:r>
    <w:r w:rsidR="00536263" w:rsidRPr="00AD6B9D">
      <w:rPr>
        <w:rFonts w:ascii="Arial" w:hAnsi="Arial" w:cs="Arial"/>
      </w:rPr>
      <w:t xml:space="preserve"> - </w:t>
    </w:r>
    <w:r w:rsidR="00536263" w:rsidRPr="00AD6B9D">
      <w:rPr>
        <w:rFonts w:ascii="Arial" w:hAnsi="Arial" w:cs="Arial"/>
      </w:rPr>
      <w:fldChar w:fldCharType="begin"/>
    </w:r>
    <w:r w:rsidR="00536263" w:rsidRPr="00AD6B9D">
      <w:rPr>
        <w:rFonts w:ascii="Arial" w:hAnsi="Arial" w:cs="Arial"/>
      </w:rPr>
      <w:instrText xml:space="preserve"> TIME  \@ "MMMM yyyy"  \* MERGEFORMAT </w:instrText>
    </w:r>
    <w:r w:rsidR="00536263" w:rsidRPr="00AD6B9D">
      <w:rPr>
        <w:rFonts w:ascii="Arial" w:hAnsi="Arial" w:cs="Arial"/>
      </w:rPr>
      <w:fldChar w:fldCharType="separate"/>
    </w:r>
    <w:r w:rsidR="000B6A44">
      <w:rPr>
        <w:rFonts w:ascii="Arial" w:hAnsi="Arial" w:cs="Arial"/>
        <w:noProof/>
      </w:rPr>
      <w:t>mai 2025</w:t>
    </w:r>
    <w:r w:rsidR="00536263" w:rsidRPr="00AD6B9D">
      <w:rPr>
        <w:rFonts w:ascii="Arial" w:hAnsi="Arial" w:cs="Arial"/>
      </w:rPr>
      <w:fldChar w:fldCharType="end"/>
    </w:r>
    <w:r w:rsidRPr="00AD6B9D">
      <w:rPr>
        <w:rFonts w:ascii="Arial" w:hAnsi="Arial" w:cs="Arial"/>
      </w:rPr>
      <w:tab/>
    </w:r>
    <w:r w:rsidRPr="00AD6B9D">
      <w:rPr>
        <w:rFonts w:ascii="Arial" w:hAnsi="Arial" w:cs="Arial"/>
        <w:b/>
        <w:bCs/>
      </w:rPr>
      <w:fldChar w:fldCharType="begin"/>
    </w:r>
    <w:r w:rsidRPr="00AD6B9D">
      <w:rPr>
        <w:rFonts w:ascii="Arial" w:hAnsi="Arial" w:cs="Arial"/>
        <w:b/>
        <w:bCs/>
      </w:rPr>
      <w:instrText>PAGE  \* Arabic  \* MERGEFORMAT</w:instrText>
    </w:r>
    <w:r w:rsidRPr="00AD6B9D">
      <w:rPr>
        <w:rFonts w:ascii="Arial" w:hAnsi="Arial" w:cs="Arial"/>
        <w:b/>
        <w:bCs/>
      </w:rPr>
      <w:fldChar w:fldCharType="separate"/>
    </w:r>
    <w:r w:rsidRPr="00AD6B9D">
      <w:rPr>
        <w:rFonts w:ascii="Arial" w:hAnsi="Arial" w:cs="Arial"/>
        <w:b/>
        <w:bCs/>
        <w:lang w:val="fr-FR"/>
      </w:rPr>
      <w:t>1</w:t>
    </w:r>
    <w:r w:rsidRPr="00AD6B9D">
      <w:rPr>
        <w:rFonts w:ascii="Arial" w:hAnsi="Arial" w:cs="Arial"/>
        <w:b/>
        <w:bCs/>
      </w:rPr>
      <w:fldChar w:fldCharType="end"/>
    </w:r>
    <w:r w:rsidRPr="00AD6B9D">
      <w:rPr>
        <w:rFonts w:ascii="Arial" w:hAnsi="Arial" w:cs="Arial"/>
        <w:lang w:val="fr-FR"/>
      </w:rPr>
      <w:t xml:space="preserve"> sur </w:t>
    </w:r>
    <w:r w:rsidRPr="00AD6B9D">
      <w:rPr>
        <w:rFonts w:ascii="Arial" w:hAnsi="Arial" w:cs="Arial"/>
        <w:b/>
        <w:bCs/>
      </w:rPr>
      <w:fldChar w:fldCharType="begin"/>
    </w:r>
    <w:r w:rsidRPr="00AD6B9D">
      <w:rPr>
        <w:rFonts w:ascii="Arial" w:hAnsi="Arial" w:cs="Arial"/>
        <w:b/>
        <w:bCs/>
      </w:rPr>
      <w:instrText>NUMPAGES  \* Arabic  \* MERGEFORMAT</w:instrText>
    </w:r>
    <w:r w:rsidRPr="00AD6B9D">
      <w:rPr>
        <w:rFonts w:ascii="Arial" w:hAnsi="Arial" w:cs="Arial"/>
        <w:b/>
        <w:bCs/>
      </w:rPr>
      <w:fldChar w:fldCharType="separate"/>
    </w:r>
    <w:r w:rsidRPr="00AD6B9D">
      <w:rPr>
        <w:rFonts w:ascii="Arial" w:hAnsi="Arial" w:cs="Arial"/>
        <w:b/>
        <w:bCs/>
        <w:lang w:val="fr-FR"/>
      </w:rPr>
      <w:t>2</w:t>
    </w:r>
    <w:r w:rsidRPr="00AD6B9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50A5" w14:textId="77777777" w:rsidR="00A41177" w:rsidRDefault="00A411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15E4" w14:textId="77777777" w:rsidR="000B6A44" w:rsidRDefault="000B6A44" w:rsidP="00B822D2">
      <w:pPr>
        <w:spacing w:after="0" w:line="240" w:lineRule="auto"/>
      </w:pPr>
      <w:r>
        <w:separator/>
      </w:r>
    </w:p>
  </w:footnote>
  <w:footnote w:type="continuationSeparator" w:id="0">
    <w:p w14:paraId="25460EC4" w14:textId="77777777" w:rsidR="000B6A44" w:rsidRDefault="000B6A44" w:rsidP="00B82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9F52" w14:textId="77777777" w:rsidR="00A41177" w:rsidRDefault="00A411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8FAF" w14:textId="77777777" w:rsidR="00B822D2" w:rsidRDefault="00A41177" w:rsidP="00A41177">
    <w:pPr>
      <w:pStyle w:val="En-tte"/>
      <w:pBdr>
        <w:bottom w:val="single" w:sz="4" w:space="3" w:color="215E99" w:themeColor="text2" w:themeTint="BF"/>
      </w:pBdr>
      <w:tabs>
        <w:tab w:val="clear" w:pos="453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31C7919" wp14:editId="665E8467">
          <wp:simplePos x="0" y="0"/>
          <wp:positionH relativeFrom="column">
            <wp:posOffset>-437727</wp:posOffset>
          </wp:positionH>
          <wp:positionV relativeFrom="paragraph">
            <wp:posOffset>-345652</wp:posOffset>
          </wp:positionV>
          <wp:extent cx="492338" cy="492338"/>
          <wp:effectExtent l="0" t="0" r="3175" b="3175"/>
          <wp:wrapNone/>
          <wp:docPr id="2030632570" name="Image 3" descr="Une image contenant symbole, logo, Graphique, clipart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801536" name="Image 3" descr="Une image contenant symbole, logo, Graphique, clipart&#10;&#10;Le contenu généré par l’IA peut être incorrec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338" cy="492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7895" w14:textId="77777777" w:rsidR="00A41177" w:rsidRDefault="00A411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AF4"/>
    <w:multiLevelType w:val="hybridMultilevel"/>
    <w:tmpl w:val="2AAA2CE2"/>
    <w:lvl w:ilvl="0" w:tplc="31A883CC">
      <w:start w:val="1"/>
      <w:numFmt w:val="upperRoman"/>
      <w:pStyle w:val="Titre1"/>
      <w:lvlText w:val="%1."/>
      <w:lvlJc w:val="right"/>
      <w:pPr>
        <w:ind w:left="720" w:hanging="360"/>
      </w:pPr>
      <w:rPr>
        <w:rFonts w:hint="default"/>
        <w:b/>
        <w:bCs/>
        <w:color w:val="156082" w:themeColor="accent1"/>
        <w:spacing w:val="-1"/>
        <w:w w:val="1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907ED"/>
    <w:multiLevelType w:val="multilevel"/>
    <w:tmpl w:val="A510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557F3"/>
    <w:multiLevelType w:val="multilevel"/>
    <w:tmpl w:val="B3FA12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2A3823"/>
    <w:multiLevelType w:val="hybridMultilevel"/>
    <w:tmpl w:val="FFF27E8A"/>
    <w:lvl w:ilvl="0" w:tplc="F424B06E">
      <w:start w:val="1"/>
      <w:numFmt w:val="lowerLetter"/>
      <w:pStyle w:val="Paragraphedeliste"/>
      <w:lvlText w:val="(%1)"/>
      <w:lvlJc w:val="right"/>
      <w:pPr>
        <w:ind w:left="720" w:hanging="360"/>
      </w:pPr>
      <w:rPr>
        <w:rFonts w:hint="default"/>
        <w:b/>
        <w:bCs/>
        <w:color w:val="156082" w:themeColor="accent1"/>
        <w:spacing w:val="-1"/>
        <w:w w:val="100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FD9"/>
    <w:multiLevelType w:val="multilevel"/>
    <w:tmpl w:val="8FC0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3108E8"/>
    <w:multiLevelType w:val="multilevel"/>
    <w:tmpl w:val="9982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625918">
    <w:abstractNumId w:val="0"/>
  </w:num>
  <w:num w:numId="2" w16cid:durableId="2079207191">
    <w:abstractNumId w:val="3"/>
  </w:num>
  <w:num w:numId="3" w16cid:durableId="785923717">
    <w:abstractNumId w:val="1"/>
  </w:num>
  <w:num w:numId="4" w16cid:durableId="437454760">
    <w:abstractNumId w:val="5"/>
  </w:num>
  <w:num w:numId="5" w16cid:durableId="93136209">
    <w:abstractNumId w:val="2"/>
  </w:num>
  <w:num w:numId="6" w16cid:durableId="1170606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44"/>
    <w:rsid w:val="000B6A44"/>
    <w:rsid w:val="002E02D3"/>
    <w:rsid w:val="005067A7"/>
    <w:rsid w:val="00536263"/>
    <w:rsid w:val="00607855"/>
    <w:rsid w:val="006637E1"/>
    <w:rsid w:val="006A2FA5"/>
    <w:rsid w:val="008F5761"/>
    <w:rsid w:val="009354CB"/>
    <w:rsid w:val="00992B14"/>
    <w:rsid w:val="009B518F"/>
    <w:rsid w:val="00A41177"/>
    <w:rsid w:val="00AD6B9D"/>
    <w:rsid w:val="00B822D2"/>
    <w:rsid w:val="00CE58FA"/>
    <w:rsid w:val="00E4742B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E9776"/>
  <w15:chartTrackingRefBased/>
  <w15:docId w15:val="{68611E32-91FD-464E-B9C1-3A9A515D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B9D"/>
  </w:style>
  <w:style w:type="paragraph" w:styleId="Titre1">
    <w:name w:val="heading 1"/>
    <w:basedOn w:val="Normal"/>
    <w:next w:val="Normal"/>
    <w:link w:val="Titre1Car"/>
    <w:uiPriority w:val="9"/>
    <w:qFormat/>
    <w:rsid w:val="00CE58FA"/>
    <w:pPr>
      <w:keepNext/>
      <w:keepLines/>
      <w:numPr>
        <w:numId w:val="1"/>
      </w:numPr>
      <w:pBdr>
        <w:bottom w:val="single" w:sz="4" w:space="4" w:color="215E99" w:themeColor="text2" w:themeTint="BF"/>
      </w:pBdr>
      <w:spacing w:before="80" w:after="80"/>
      <w:jc w:val="both"/>
      <w:outlineLvl w:val="0"/>
    </w:pPr>
    <w:rPr>
      <w:rFonts w:ascii="Arial" w:eastAsiaTheme="majorEastAsia" w:hAnsi="Arial" w:cs="Arial"/>
      <w:b/>
      <w:bCs/>
      <w:color w:val="0070C0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2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2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2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2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2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2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2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2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58FA"/>
    <w:rPr>
      <w:rFonts w:ascii="Arial" w:eastAsiaTheme="majorEastAsia" w:hAnsi="Arial" w:cs="Arial"/>
      <w:b/>
      <w:bCs/>
      <w:color w:val="0070C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B82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2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22D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22D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22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22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22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22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2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2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2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2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2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22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7855"/>
    <w:pPr>
      <w:numPr>
        <w:numId w:val="2"/>
      </w:numPr>
      <w:spacing w:before="60" w:after="60"/>
      <w:ind w:left="1134"/>
      <w:contextualSpacing/>
      <w:jc w:val="both"/>
    </w:pPr>
    <w:rPr>
      <w:rFonts w:ascii="Arial" w:hAnsi="Arial" w:cs="Arial"/>
      <w:sz w:val="20"/>
      <w:szCs w:val="20"/>
    </w:rPr>
  </w:style>
  <w:style w:type="character" w:styleId="Accentuationintense">
    <w:name w:val="Intense Emphasis"/>
    <w:basedOn w:val="Policepardfaut"/>
    <w:uiPriority w:val="21"/>
    <w:qFormat/>
    <w:rsid w:val="00B822D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2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22D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22D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8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22D2"/>
  </w:style>
  <w:style w:type="paragraph" w:styleId="Pieddepage">
    <w:name w:val="footer"/>
    <w:basedOn w:val="Normal"/>
    <w:link w:val="PieddepageCar"/>
    <w:uiPriority w:val="99"/>
    <w:unhideWhenUsed/>
    <w:rsid w:val="00B8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22D2"/>
  </w:style>
  <w:style w:type="paragraph" w:styleId="Sansinterligne">
    <w:name w:val="No Spacing"/>
    <w:link w:val="SansinterligneCar"/>
    <w:uiPriority w:val="1"/>
    <w:qFormat/>
    <w:rsid w:val="00E4742B"/>
    <w:pPr>
      <w:spacing w:after="0" w:line="240" w:lineRule="auto"/>
    </w:pPr>
    <w:rPr>
      <w:rFonts w:eastAsiaTheme="minorEastAsia"/>
      <w:kern w:val="0"/>
      <w:lang w:eastAsia="fr-CH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4742B"/>
    <w:rPr>
      <w:rFonts w:eastAsiaTheme="minorEastAsia"/>
      <w:kern w:val="0"/>
      <w:lang w:eastAsia="fr-CH"/>
      <w14:ligatures w14:val="none"/>
    </w:rPr>
  </w:style>
  <w:style w:type="paragraph" w:customStyle="1" w:styleId="P">
    <w:name w:val="P"/>
    <w:basedOn w:val="Paragraphedeliste"/>
    <w:autoRedefine/>
    <w:qFormat/>
    <w:rsid w:val="00607855"/>
    <w:pPr>
      <w:numPr>
        <w:numId w:val="0"/>
      </w:numPr>
      <w:spacing w:line="276" w:lineRule="auto"/>
      <w:ind w:left="709"/>
    </w:pPr>
    <w:rPr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B6A44"/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B6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\OneDrive\CAS_LPE\Base%20empire%20T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23644F2B1A47D7962613A670825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6A75B-9F2A-4D15-B3E2-3F398B0FDDE1}"/>
      </w:docPartPr>
      <w:docPartBody>
        <w:p w:rsidR="00BC0E8D" w:rsidRDefault="00BC0E8D">
          <w:pPr>
            <w:pStyle w:val="A223644F2B1A47D7962613A6708256DD"/>
          </w:pPr>
          <w:r>
            <w:rPr>
              <w:color w:val="0F4761" w:themeColor="accent1" w:themeShade="BF"/>
              <w:lang w:val="fr-FR"/>
            </w:rPr>
            <w:t>[Sous-titre du document]</w:t>
          </w:r>
        </w:p>
      </w:docPartBody>
    </w:docPart>
    <w:docPart>
      <w:docPartPr>
        <w:name w:val="1BACD48ECD7045A2B7336852EAF87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4D50E2-8C77-41CE-A968-B87EF0968070}"/>
      </w:docPartPr>
      <w:docPartBody>
        <w:p w:rsidR="00BC0E8D" w:rsidRDefault="00BC0E8D">
          <w:pPr>
            <w:pStyle w:val="1BACD48ECD7045A2B7336852EAF8789E"/>
          </w:pPr>
          <w:r>
            <w:rPr>
              <w:color w:val="156082" w:themeColor="accent1"/>
              <w:sz w:val="28"/>
              <w:szCs w:val="28"/>
              <w:lang w:val="fr-FR"/>
            </w:rPr>
            <w:t>[Nom de l’auteur]</w:t>
          </w:r>
        </w:p>
      </w:docPartBody>
    </w:docPart>
    <w:docPart>
      <w:docPartPr>
        <w:name w:val="AE326D86BB6D45AD9FF7D60DEFE90E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ED01E-A829-4856-B8C2-F7E738901934}"/>
      </w:docPartPr>
      <w:docPartBody>
        <w:p w:rsidR="00BC0E8D" w:rsidRDefault="00BC0E8D">
          <w:pPr>
            <w:pStyle w:val="AE326D86BB6D45AD9FF7D60DEFE90EFE"/>
          </w:pPr>
          <w:r>
            <w:rPr>
              <w:color w:val="156082" w:themeColor="accent1"/>
              <w:sz w:val="28"/>
              <w:szCs w:val="28"/>
              <w:lang w:val="fr-FR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8D"/>
    <w:rsid w:val="009354CB"/>
    <w:rsid w:val="00BC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223644F2B1A47D7962613A6708256DD">
    <w:name w:val="A223644F2B1A47D7962613A6708256DD"/>
  </w:style>
  <w:style w:type="paragraph" w:customStyle="1" w:styleId="1BACD48ECD7045A2B7336852EAF8789E">
    <w:name w:val="1BACD48ECD7045A2B7336852EAF8789E"/>
  </w:style>
  <w:style w:type="paragraph" w:customStyle="1" w:styleId="AE326D86BB6D45AD9FF7D60DEFE90EFE">
    <w:name w:val="AE326D86BB6D45AD9FF7D60DEFE90E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2025-05-03T00:00:00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3BBF9F5BB14B8218BE985B7B3A3D" ma:contentTypeVersion="15" ma:contentTypeDescription="Crée un document." ma:contentTypeScope="" ma:versionID="a0eede69cd8cd80a0955c07101999d8e">
  <xsd:schema xmlns:xsd="http://www.w3.org/2001/XMLSchema" xmlns:xs="http://www.w3.org/2001/XMLSchema" xmlns:p="http://schemas.microsoft.com/office/2006/metadata/properties" xmlns:ns2="07104ea7-f245-4466-9c6f-6502bdf82c95" targetNamespace="http://schemas.microsoft.com/office/2006/metadata/properties" ma:root="true" ma:fieldsID="8f54a24f2bc50155ceff6fb6178e3218" ns2:_="">
    <xsd:import namespace="07104ea7-f245-4466-9c6f-6502bdf8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Hub" minOccurs="0"/>
                <xsd:element ref="ns2:Niveau" minOccurs="0"/>
                <xsd:element ref="ns2:Th_x00e8_me" minOccurs="0"/>
                <xsd:element ref="ns2:Loi" minOccurs="0"/>
                <xsd:element ref="ns2:Difficult_x00e9_" minOccurs="0"/>
                <xsd:element ref="ns2:TAG" minOccurs="0"/>
                <xsd:element ref="ns2:Type_1" minOccurs="0"/>
                <xsd:element ref="ns2:Public" minOccurs="0"/>
                <xsd:element ref="ns2:Acc_x00e8_s" minOccurs="0"/>
                <xsd:element ref="ns2:Code_x002f_Loi" minOccurs="0"/>
                <xsd:element ref="ns2:Trousse" minOccurs="0"/>
                <xsd:element ref="ns2:Facult_x00e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4ea7-f245-4466-9c6f-6502bdf82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ub" ma:index="11" nillable="true" ma:displayName="Hub" ma:format="Dropdown" ma:internalName="Hub">
      <xsd:simpleType>
        <xsd:union memberTypes="dms:Text">
          <xsd:simpleType>
            <xsd:restriction base="dms:Choice">
              <xsd:enumeration value="HUB-AFA"/>
              <xsd:enumeration value="HUB - APEA"/>
              <xsd:enumeration value="HUB-Assurances sociales"/>
              <xsd:enumeration value="HUB — CAS I"/>
              <xsd:enumeration value="HUB - CONSENTEMENT"/>
              <xsd:enumeration value="HUB — Droit médical"/>
              <xsd:enumeration value="HUB — Droits des patient·e·s"/>
              <xsd:enumeration value="HUB-EMS"/>
              <xsd:enumeration value="HUB-fin de vie"/>
              <xsd:enumeration value="HUB — Jurisprudence"/>
              <xsd:enumeration value="HUB — Méthodo"/>
              <xsd:enumeration value="HUB-PAFA"/>
              <xsd:enumeration value="HUB-PARACHUTE"/>
              <xsd:enumeration value="HUB-PARAMEDICAL"/>
              <xsd:enumeration value="HUB - PMA"/>
              <xsd:enumeration value="HUB-Ressources"/>
              <xsd:enumeration value="HUB-Responsabilité civile"/>
              <xsd:enumeration value="HUB — Secret médical"/>
            </xsd:restriction>
          </xsd:simpleType>
        </xsd:union>
      </xsd:simpleType>
    </xsd:element>
    <xsd:element name="Niveau" ma:index="12" nillable="true" ma:displayName="Niveau" ma:default="Basique" ma:format="Dropdown" ma:internalName="Nivea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sique"/>
                    <xsd:enumeration value="Moyen"/>
                    <xsd:enumeration value="Difficile"/>
                    <xsd:enumeration value="Diabolique"/>
                    <xsd:enumeration value="Méga diabolique"/>
                  </xsd:restriction>
                </xsd:simpleType>
              </xsd:element>
            </xsd:sequence>
          </xsd:extension>
        </xsd:complexContent>
      </xsd:complexType>
    </xsd:element>
    <xsd:element name="Th_x00e8_me" ma:index="13" nillable="true" ma:displayName="Thème" ma:description="Thèmes" ma:format="Dropdown" ma:internalName="Th_x00e8_me">
      <xsd:simpleType>
        <xsd:restriction base="dms:Choice">
          <xsd:enumeration value="Assurances sociales"/>
          <xsd:enumeration value="Civil"/>
          <xsd:enumeration value="Consentement"/>
          <xsd:enumeration value="Constitution &amp; droits fondamentaux"/>
          <xsd:enumeration value="Contrats &amp; obligations"/>
          <xsd:enumeration value="Dossier médical &amp; droit d’accès"/>
          <xsd:enumeration value="Droit médical"/>
          <xsd:enumeration value="Droits des patient·e·s"/>
          <xsd:enumeration value="Droit public"/>
          <xsd:enumeration value="Ethique"/>
          <xsd:enumeration value="Famille &amp; filiation (PMA incluse)"/>
          <xsd:enumeration value="Fin de vie"/>
          <xsd:enumeration value="Français"/>
          <xsd:enumeration value="Institutions &amp; responsabilités pro (délégation, hiérarchie, auxiliaires, plainte/erreur)"/>
          <xsd:enumeration value="Intro"/>
          <xsd:enumeration value="Loi cantonale"/>
          <xsd:enumeration value="Méthodo"/>
          <xsd:enumeration value="Pénal"/>
          <xsd:enumeration value="Preuve &amp; documentation"/>
          <xsd:enumeration value="Procédure civile"/>
          <xsd:enumeration value="Procédure pénale"/>
          <xsd:enumeration value="Protection de l’adulte &amp; de l’enfant (APEA / PAFA)"/>
          <xsd:enumeration value="Responsabilité civile"/>
          <xsd:enumeration value="Responsabilité médicale"/>
          <xsd:enumeration value="Secret médical &amp; données"/>
          <xsd:enumeration value="Suite office"/>
          <xsd:enumeration value="Terminologie juridique"/>
          <xsd:enumeration value="Terminologie médicale"/>
        </xsd:restriction>
      </xsd:simpleType>
    </xsd:element>
    <xsd:element name="Loi" ma:index="14" nillable="true" ma:displayName="Loi" ma:description="Loi ou code concerné" ma:format="Dropdown" ma:internalName="Loi">
      <xsd:simpleType>
        <xsd:union memberTypes="dms:Text">
          <xsd:simpleType>
            <xsd:restriction base="dms:Choice">
              <xsd:enumeration value="CC"/>
              <xsd:enumeration value="CO"/>
              <xsd:enumeration value="CP"/>
              <xsd:enumeration value="CPC"/>
              <xsd:enumeration value="CPP"/>
              <xsd:enumeration value="CST"/>
              <xsd:enumeration value="LPD"/>
              <xsd:enumeration value="LAMal"/>
              <xsd:enumeration value="LAA"/>
              <xsd:enumeration value="AI"/>
              <xsd:enumeration value="LPGA"/>
              <xsd:enumeration value="APG"/>
              <xsd:enumeration value="LCA"/>
              <xsd:enumeration value="OAMal"/>
              <xsd:enumeration value="LHand"/>
            </xsd:restriction>
          </xsd:simpleType>
        </xsd:union>
      </xsd:simpleType>
    </xsd:element>
    <xsd:element name="Difficult_x00e9_" ma:index="15" nillable="true" ma:displayName="Difficulté" ma:description="niveau de difficulté" ma:format="Dropdown" ma:internalName="Difficult_x00e9_">
      <xsd:simpleType>
        <xsd:union memberTypes="dms:Text">
          <xsd:simpleType>
            <xsd:restriction base="dms:Choice">
              <xsd:enumeration value="Standard"/>
              <xsd:enumeration value="Moyen"/>
              <xsd:enumeration value="Difficile"/>
              <xsd:enumeration value="Difficile+"/>
              <xsd:enumeration value="Diabolique"/>
              <xsd:enumeration value="Méga diabolique"/>
            </xsd:restriction>
          </xsd:simpleType>
        </xsd:union>
      </xsd:simpleType>
    </xsd:element>
    <xsd:element name="TAG" ma:index="16" nillable="true" ma:displayName="TAGS" ma:format="Dropdown" ma:internalName="TAG">
      <xsd:simpleType>
        <xsd:restriction base="dms:Choice">
          <xsd:enumeration value="Accès aux soins"/>
          <xsd:enumeration value="Accident"/>
          <xsd:enumeration value="Annexe 1"/>
          <xsd:enumeration value="Assimilées"/>
          <xsd:enumeration value="Bases"/>
          <xsd:enumeration value="Checklist_Trap"/>
          <xsd:enumeration value="Chronologie"/>
          <xsd:enumeration value="Citer"/>
          <xsd:enumeration value="Discrimination"/>
          <xsd:enumeration value="Droits humains"/>
          <xsd:enumeration value="Consentement_Trap"/>
          <xsd:enumeration value="Coordination"/>
          <xsd:enumeration value="Exam_Trap"/>
          <xsd:enumeration value="Exos"/>
          <xsd:enumeration value="Exposition"/>
          <xsd:enumeration value="Faux_ami"/>
          <xsd:enumeration value="Fedlex"/>
          <xsd:enumeration value="FDS"/>
          <xsd:enumeration value="Handicap"/>
          <xsd:enumeration value="Hôpital"/>
          <xsd:enumeration value="Hors liste"/>
          <xsd:enumeration value="Liste"/>
          <xsd:enumeration value="Maladie"/>
          <xsd:enumeration value="Maladie pro"/>
          <xsd:enumeration value="Migration"/>
          <xsd:enumeration value="OLAA"/>
          <xsd:enumeration value="Piège"/>
          <xsd:enumeration value="Preuve_Trap"/>
          <xsd:enumeration value="Procedure_Trap"/>
          <xsd:enumeration value="Provisoire"/>
          <xsd:enumeration value="QCM"/>
          <xsd:enumeration value="Remboursement"/>
          <xsd:enumeration value="Resp_Trap"/>
          <xsd:enumeration value="Santé publique"/>
          <xsd:enumeration value="Tri"/>
          <xsd:enumeration value="Twist"/>
          <xsd:enumeration value="Usure"/>
        </xsd:restriction>
      </xsd:simpleType>
    </xsd:element>
    <xsd:element name="Type_1" ma:index="17" nillable="true" ma:displayName="Types" ma:default="FP" ma:description="types de ressources" ma:format="Dropdown" ma:internalName="Type_1">
      <xsd:simpleType>
        <xsd:restriction base="dms:Choice">
          <xsd:enumeration value="ARB"/>
          <xsd:enumeration value="CAN"/>
          <xsd:enumeration value="CAP"/>
          <xsd:enumeration value="CP"/>
          <xsd:enumeration value="CJX"/>
          <xsd:enumeration value="CM"/>
          <xsd:enumeration value="COR"/>
          <xsd:enumeration value="EXO"/>
          <xsd:enumeration value="FP"/>
          <xsd:enumeration value="FPED"/>
          <xsd:enumeration value="FMET"/>
          <xsd:enumeration value="FREX"/>
          <xsd:enumeration value="FS"/>
          <xsd:enumeration value="GP"/>
          <xsd:enumeration value="HUB"/>
          <xsd:enumeration value="MOD"/>
          <xsd:enumeration value="QCM"/>
          <xsd:enumeration value="SENT"/>
          <xsd:enumeration value="TAB"/>
          <xsd:enumeration value="TROU"/>
        </xsd:restriction>
      </xsd:simpleType>
    </xsd:element>
    <xsd:element name="Public" ma:index="18" nillable="true" ma:displayName="Public" ma:default="TEAM" ma:description="public cible" ma:format="Dropdown" ma:internalName="Public">
      <xsd:simpleType>
        <xsd:restriction base="dms:Choice">
          <xsd:enumeration value="ADM"/>
          <xsd:enumeration value="ETU"/>
          <xsd:enumeration value="JUR"/>
          <xsd:enumeration value="MED"/>
          <xsd:enumeration value="MTECH"/>
          <xsd:enumeration value="MTHER"/>
          <xsd:enumeration value="PARA"/>
          <xsd:enumeration value="TEAM"/>
        </xsd:restriction>
      </xsd:simpleType>
    </xsd:element>
    <xsd:element name="Acc_x00e8_s" ma:index="19" nillable="true" ma:displayName="Accès" ma:default="Public" ma:format="Dropdown" ma:internalName="Acc_x00e8_s">
      <xsd:simpleType>
        <xsd:restriction base="dms:Choice">
          <xsd:enumeration value="Public"/>
          <xsd:enumeration value="Premium"/>
        </xsd:restriction>
      </xsd:simpleType>
    </xsd:element>
    <xsd:element name="Code_x002f_Loi" ma:index="20" nillable="true" ma:displayName="Code /Loi" ma:description="Codes, lois, ordonnances et règlements" ma:format="Dropdown" ma:internalName="Code_x002f_Loi">
      <xsd:simpleType>
        <xsd:restriction base="dms:Choice">
          <xsd:enumeration value="AI"/>
          <xsd:enumeration value="APG"/>
          <xsd:enumeration value="CC"/>
          <xsd:enumeration value="CO"/>
          <xsd:enumeration value="CP"/>
          <xsd:enumeration value="CPC"/>
          <xsd:enumeration value="CPP"/>
          <xsd:enumeration value="CST"/>
          <xsd:enumeration value="LAA"/>
          <xsd:enumeration value="LAFAM"/>
          <xsd:enumeration value="LAM"/>
          <xsd:enumeration value="LAMal"/>
          <xsd:enumeration value="LAPG"/>
          <xsd:enumeration value="LAVI"/>
          <xsd:enumeration value="LCA"/>
          <xsd:enumeration value="LDEP"/>
          <xsd:enumeration value="LEMO"/>
          <xsd:enumeration value="LHand"/>
          <xsd:enumeration value="LPC"/>
          <xsd:enumeration value="LPD"/>
          <xsd:enumeration value="LPGA"/>
          <xsd:enumeration value="LPMed"/>
          <xsd:enumeration value="Lstup"/>
          <xsd:enumeration value="LPSan"/>
          <xsd:enumeration value="OCPSan"/>
          <xsd:enumeration value="LPMA"/>
          <xsd:enumeration value="LPTh"/>
          <xsd:enumeration value="Loi sur la transplantation"/>
          <xsd:enumeration value="LSAMal"/>
          <xsd:enumeration value="OAMal"/>
          <xsd:enumeration value="OCStup"/>
          <xsd:enumeration value="ODEP"/>
          <xsd:enumeration value="OLAA"/>
          <xsd:enumeration value="OMAA"/>
          <xsd:enumeration value="OMAV"/>
          <xsd:enumeration value="OPAS"/>
          <xsd:enumeration value="OPGA"/>
          <xsd:enumeration value="ORe-DFI"/>
          <xsd:enumeration value="ORPSan"/>
          <xsd:enumeration value="RAI"/>
          <xsd:enumeration value="Choix 40"/>
        </xsd:restriction>
      </xsd:simpleType>
    </xsd:element>
    <xsd:element name="Trousse" ma:index="21" nillable="true" ma:displayName="Trousse" ma:description="Trousses" ma:format="Dropdown" ma:internalName="Trousse">
      <xsd:simpleType>
        <xsd:restriction base="dms:Choice">
          <xsd:enumeration value="CAS_I"/>
          <xsd:enumeration value="Corrigés"/>
          <xsd:enumeration value="Découverte"/>
          <xsd:enumeration value="Entraînement"/>
          <xsd:enumeration value="Examen"/>
          <xsd:enumeration value="Expert"/>
          <xsd:enumeration value="Premium"/>
          <xsd:enumeration value="Standard"/>
          <xsd:enumeration value="Thématique"/>
        </xsd:restriction>
      </xsd:simpleType>
    </xsd:element>
    <xsd:element name="Facult_x00e9_" ma:index="22" nillable="true" ma:displayName="Faculté" ma:format="Dropdown" ma:internalName="Facult_x00e9_">
      <xsd:simpleType>
        <xsd:union memberTypes="dms:Text">
          <xsd:simpleType>
            <xsd:restriction base="dms:Choice">
              <xsd:enumeration value="ASSC"/>
              <xsd:enumeration value="Soins infirmiers"/>
              <xsd:enumeration value="Médecine"/>
              <xsd:enumeration value="Paramédicale"/>
              <xsd:enumeration value="Droit"/>
              <xsd:enumeration value="Patients &amp; proches"/>
              <xsd:enumeration value="Administration &amp; Management"/>
              <xsd:enumeration value="Formation continu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fficult_x00e9_ xmlns="07104ea7-f245-4466-9c6f-6502bdf82c95" xsi:nil="true"/>
    <Loi xmlns="07104ea7-f245-4466-9c6f-6502bdf82c95" xsi:nil="true"/>
    <Th_x00e8_me xmlns="07104ea7-f245-4466-9c6f-6502bdf82c95">Responsabilité civile</Th_x00e8_me>
    <TAG xmlns="07104ea7-f245-4466-9c6f-6502bdf82c95" xsi:nil="true"/>
    <Type_1 xmlns="07104ea7-f245-4466-9c6f-6502bdf82c95">CJX</Type_1>
    <Hub xmlns="07104ea7-f245-4466-9c6f-6502bdf82c95">HUB-RC</Hub>
    <Niveau xmlns="07104ea7-f245-4466-9c6f-6502bdf82c95">
      <Value>Basique</Value>
    </Niveau>
    <Acc_x00e8_s xmlns="07104ea7-f245-4466-9c6f-6502bdf82c95">Premium</Acc_x00e8_s>
    <Public xmlns="07104ea7-f245-4466-9c6f-6502bdf82c95">TEAM</Public>
    <Code_x002f_Loi xmlns="07104ea7-f245-4466-9c6f-6502bdf82c95">CC</Code_x002f_Loi>
    <Trousse xmlns="07104ea7-f245-4466-9c6f-6502bdf82c95" xsi:nil="true"/>
    <Facult_x00e9_ xmlns="07104ea7-f245-4466-9c6f-6502bdf82c9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607435-30C2-4005-A856-737B2E8BA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0008B7-4C54-4140-894B-EC89C70D8A7A}"/>
</file>

<file path=customXml/itemProps4.xml><?xml version="1.0" encoding="utf-8"?>
<ds:datastoreItem xmlns:ds="http://schemas.openxmlformats.org/officeDocument/2006/customXml" ds:itemID="{1A8DE3A5-AB4D-4BBC-B4EB-46DE1984FE6E}"/>
</file>

<file path=customXml/itemProps5.xml><?xml version="1.0" encoding="utf-8"?>
<ds:datastoreItem xmlns:ds="http://schemas.openxmlformats.org/officeDocument/2006/customXml" ds:itemID="{E17445CF-F789-4058-BC7F-D70B2C04D9CB}"/>
</file>

<file path=docProps/app.xml><?xml version="1.0" encoding="utf-8"?>
<Properties xmlns="http://schemas.openxmlformats.org/officeDocument/2006/extended-properties" xmlns:vt="http://schemas.openxmlformats.org/officeDocument/2006/docPropsVTypes">
  <Template>Base empire TT</Template>
  <TotalTime>0</TotalTime>
  <Pages>7</Pages>
  <Words>2003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Enoncés sans réponse</dc:subject>
  <dc:creator>Laurence Petoud</dc:creator>
  <cp:keywords/>
  <dc:description/>
  <cp:lastModifiedBy>Laurence Petoud</cp:lastModifiedBy>
  <cp:revision>1</cp:revision>
  <dcterms:created xsi:type="dcterms:W3CDTF">2025-05-11T12:14:00Z</dcterms:created>
  <dcterms:modified xsi:type="dcterms:W3CDTF">2025-05-11T12:28:00Z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0x01010009FA3BBF9F5BB14B8218BE985B7B3A3D</vt:lpwstr>
  </property>
</Properties>
</file>